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43" w:rsidRPr="00762860" w:rsidRDefault="00493743" w:rsidP="00E053C0">
      <w:pPr>
        <w:spacing w:after="0"/>
        <w:jc w:val="center"/>
        <w:rPr>
          <w:rFonts w:cs="Arial"/>
          <w:b/>
        </w:rPr>
      </w:pPr>
    </w:p>
    <w:p w:rsidR="00493743" w:rsidRPr="00762860" w:rsidRDefault="00CB3D6A" w:rsidP="00E053C0">
      <w:pPr>
        <w:spacing w:after="0"/>
        <w:jc w:val="center"/>
        <w:rPr>
          <w:rFonts w:cs="Arial"/>
          <w:b/>
        </w:rPr>
      </w:pPr>
      <w:r w:rsidRPr="00CB3D6A">
        <w:rPr>
          <w:rFonts w:cs="Arial"/>
          <w:b/>
          <w:noProof/>
        </w:rPr>
        <w:pict>
          <v:shapetype id="_x0000_t202" coordsize="21600,21600" o:spt="202" path="m,l,21600r21600,l21600,xe">
            <v:stroke joinstyle="miter"/>
            <v:path gradientshapeok="t" o:connecttype="rect"/>
          </v:shapetype>
          <v:shape id="_x0000_s1047" type="#_x0000_t202" style="position:absolute;left:0;text-align:left;margin-left:.7pt;margin-top:3.75pt;width:459.7pt;height:663.9pt;z-index:251657728" stroked="f">
            <v:textbox style="mso-next-textbox:#_x0000_s1047">
              <w:txbxContent>
                <w:p w:rsidR="008E1C9E" w:rsidRPr="0054070F" w:rsidRDefault="008E1C9E" w:rsidP="00923681">
                  <w:pPr>
                    <w:spacing w:after="0" w:line="240" w:lineRule="auto"/>
                    <w:jc w:val="center"/>
                    <w:rPr>
                      <w:rFonts w:cs="Tahoma"/>
                      <w:color w:val="0000FF"/>
                      <w:sz w:val="18"/>
                      <w:szCs w:val="18"/>
                    </w:rPr>
                  </w:pPr>
                  <w:r>
                    <w:rPr>
                      <w:noProof/>
                      <w:color w:val="000000"/>
                      <w:sz w:val="18"/>
                      <w:szCs w:val="18"/>
                      <w:lang w:val="tr-TR" w:eastAsia="tr-TR"/>
                    </w:rPr>
                    <w:drawing>
                      <wp:inline distT="0" distB="0" distL="0" distR="0">
                        <wp:extent cx="5943600" cy="1028700"/>
                        <wp:effectExtent l="19050" t="0" r="0" b="0"/>
                        <wp:docPr id="7" name="Picture 1" descr="http://www.invest.gov.tr/images/foo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gov.tr/images/footer_banner.jpg"/>
                                <pic:cNvPicPr>
                                  <a:picLocks noChangeAspect="1" noChangeArrowheads="1"/>
                                </pic:cNvPicPr>
                              </pic:nvPicPr>
                              <pic:blipFill>
                                <a:blip r:embed="rId8"/>
                                <a:srcRect/>
                                <a:stretch>
                                  <a:fillRect/>
                                </a:stretch>
                              </pic:blipFill>
                              <pic:spPr bwMode="auto">
                                <a:xfrm>
                                  <a:off x="0" y="0"/>
                                  <a:ext cx="5943600" cy="1028700"/>
                                </a:xfrm>
                                <a:prstGeom prst="rect">
                                  <a:avLst/>
                                </a:prstGeom>
                                <a:noFill/>
                                <a:ln w="9525">
                                  <a:noFill/>
                                  <a:miter lim="800000"/>
                                  <a:headEnd/>
                                  <a:tailEnd/>
                                </a:ln>
                              </pic:spPr>
                            </pic:pic>
                          </a:graphicData>
                        </a:graphic>
                      </wp:inline>
                    </w:drawing>
                  </w: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1963DD">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color w:val="0000FF"/>
                      <w:sz w:val="18"/>
                      <w:szCs w:val="18"/>
                    </w:rPr>
                  </w:pPr>
                </w:p>
                <w:p w:rsidR="008E1C9E" w:rsidRPr="0054070F" w:rsidRDefault="008E1C9E" w:rsidP="00923681">
                  <w:pPr>
                    <w:spacing w:after="0" w:line="240" w:lineRule="auto"/>
                    <w:jc w:val="center"/>
                    <w:rPr>
                      <w:rFonts w:cs="Arial"/>
                      <w:b/>
                      <w:sz w:val="18"/>
                      <w:szCs w:val="18"/>
                    </w:rPr>
                  </w:pPr>
                </w:p>
                <w:p w:rsidR="008E1C9E" w:rsidRPr="0054070F" w:rsidRDefault="008E1C9E" w:rsidP="001878C1">
                  <w:pPr>
                    <w:spacing w:after="0" w:line="240" w:lineRule="auto"/>
                    <w:jc w:val="center"/>
                    <w:rPr>
                      <w:rFonts w:cs="Tahoma"/>
                      <w:color w:val="0000FF"/>
                      <w:sz w:val="18"/>
                      <w:szCs w:val="18"/>
                    </w:rPr>
                  </w:pPr>
                  <w:r>
                    <w:rPr>
                      <w:rFonts w:cs="Arial"/>
                      <w:b/>
                      <w:sz w:val="40"/>
                      <w:szCs w:val="40"/>
                    </w:rPr>
                    <w:t>Oil</w:t>
                  </w:r>
                  <w:r w:rsidRPr="001878C1">
                    <w:rPr>
                      <w:rFonts w:cs="Arial"/>
                      <w:b/>
                      <w:sz w:val="40"/>
                      <w:szCs w:val="40"/>
                    </w:rPr>
                    <w:t xml:space="preserve"> Industry in Turkey</w:t>
                  </w:r>
                </w:p>
                <w:p w:rsidR="008E1C9E" w:rsidRPr="0054070F" w:rsidRDefault="008E1C9E" w:rsidP="00923681">
                  <w:pPr>
                    <w:spacing w:after="0" w:line="240" w:lineRule="auto"/>
                    <w:rPr>
                      <w:rFonts w:cs="Tahoma"/>
                      <w:color w:val="0000FF"/>
                      <w:sz w:val="18"/>
                      <w:szCs w:val="18"/>
                    </w:rPr>
                  </w:pPr>
                </w:p>
                <w:p w:rsidR="008E1C9E" w:rsidRPr="0054070F" w:rsidRDefault="008E1C9E" w:rsidP="00923681">
                  <w:pPr>
                    <w:spacing w:after="0" w:line="240" w:lineRule="auto"/>
                    <w:rPr>
                      <w:rFonts w:cs="Tahoma"/>
                      <w:color w:val="0000FF"/>
                      <w:sz w:val="18"/>
                      <w:szCs w:val="18"/>
                    </w:rPr>
                  </w:pPr>
                </w:p>
                <w:p w:rsidR="008E1C9E" w:rsidRPr="0054070F" w:rsidRDefault="008E1C9E" w:rsidP="00923681">
                  <w:pPr>
                    <w:pStyle w:val="Footer"/>
                    <w:spacing w:after="0" w:line="240" w:lineRule="auto"/>
                    <w:jc w:val="center"/>
                    <w:rPr>
                      <w:rFonts w:cs="Arial"/>
                      <w:b/>
                      <w:bCs/>
                      <w:color w:val="FF0000"/>
                      <w:sz w:val="18"/>
                      <w:szCs w:val="18"/>
                    </w:rPr>
                  </w:pPr>
                </w:p>
                <w:p w:rsidR="008E1C9E" w:rsidRPr="0054070F" w:rsidRDefault="008E1C9E" w:rsidP="00923681">
                  <w:pPr>
                    <w:pStyle w:val="Footer"/>
                    <w:spacing w:after="0" w:line="240" w:lineRule="auto"/>
                    <w:jc w:val="center"/>
                    <w:rPr>
                      <w:rFonts w:cs="Arial"/>
                      <w:b/>
                      <w:bCs/>
                      <w:color w:val="FF0000"/>
                      <w:sz w:val="18"/>
                      <w:szCs w:val="18"/>
                    </w:rPr>
                  </w:pPr>
                </w:p>
                <w:p w:rsidR="008E1C9E" w:rsidRPr="0054070F" w:rsidRDefault="008E1C9E" w:rsidP="00923681">
                  <w:pPr>
                    <w:pStyle w:val="Footer"/>
                    <w:spacing w:after="0" w:line="240" w:lineRule="auto"/>
                    <w:jc w:val="center"/>
                    <w:rPr>
                      <w:rFonts w:cs="Arial"/>
                      <w:b/>
                      <w:bCs/>
                      <w:color w:val="FF0000"/>
                      <w:sz w:val="18"/>
                      <w:szCs w:val="18"/>
                    </w:rPr>
                  </w:pPr>
                </w:p>
                <w:p w:rsidR="008E1C9E" w:rsidRPr="0054070F" w:rsidRDefault="008E1C9E" w:rsidP="00923681">
                  <w:pPr>
                    <w:pStyle w:val="Footer"/>
                    <w:spacing w:after="0" w:line="240" w:lineRule="auto"/>
                    <w:jc w:val="center"/>
                    <w:rPr>
                      <w:rFonts w:cs="Arial"/>
                      <w:b/>
                      <w:bCs/>
                      <w:color w:val="FF0000"/>
                      <w:sz w:val="18"/>
                      <w:szCs w:val="18"/>
                    </w:rPr>
                  </w:pPr>
                </w:p>
                <w:p w:rsidR="008E1C9E" w:rsidRPr="0054070F" w:rsidRDefault="008E1C9E" w:rsidP="00923681">
                  <w:pPr>
                    <w:pStyle w:val="Footer"/>
                    <w:spacing w:after="0" w:line="240" w:lineRule="auto"/>
                    <w:jc w:val="center"/>
                    <w:rPr>
                      <w:rFonts w:cs="Arial"/>
                      <w:b/>
                      <w:bCs/>
                      <w:color w:val="FF0000"/>
                      <w:sz w:val="18"/>
                      <w:szCs w:val="18"/>
                    </w:rPr>
                  </w:pPr>
                </w:p>
                <w:p w:rsidR="008E1C9E" w:rsidRPr="0054070F" w:rsidRDefault="008E1C9E" w:rsidP="00923681">
                  <w:pPr>
                    <w:pStyle w:val="Footer"/>
                    <w:spacing w:after="0" w:line="240" w:lineRule="auto"/>
                    <w:jc w:val="center"/>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Default="008E1C9E" w:rsidP="001963DD">
                  <w:pPr>
                    <w:pStyle w:val="Footer"/>
                    <w:spacing w:after="0" w:line="240" w:lineRule="auto"/>
                    <w:rPr>
                      <w:rFonts w:cs="Arial"/>
                      <w:b/>
                      <w:bCs/>
                      <w:color w:val="FF0000"/>
                      <w:sz w:val="14"/>
                      <w:szCs w:val="14"/>
                    </w:rPr>
                  </w:pPr>
                </w:p>
                <w:p w:rsidR="008E1C9E" w:rsidRPr="0054070F" w:rsidRDefault="008E1C9E" w:rsidP="00D50E6B">
                  <w:pPr>
                    <w:jc w:val="center"/>
                  </w:pPr>
                  <w:r>
                    <w:rPr>
                      <w:b/>
                      <w:bCs/>
                      <w:noProof/>
                      <w:lang w:val="tr-TR" w:eastAsia="tr-TR"/>
                    </w:rPr>
                    <w:drawing>
                      <wp:inline distT="0" distB="0" distL="0" distR="0">
                        <wp:extent cx="2787015" cy="1099185"/>
                        <wp:effectExtent l="19050" t="0" r="0" b="0"/>
                        <wp:docPr id="2" name="Picture 1" descr="jssm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m_invest"/>
                                <pic:cNvPicPr>
                                  <a:picLocks noChangeAspect="1" noChangeArrowheads="1"/>
                                </pic:cNvPicPr>
                              </pic:nvPicPr>
                              <pic:blipFill>
                                <a:blip r:embed="rId9" r:link="rId10"/>
                                <a:srcRect/>
                                <a:stretch>
                                  <a:fillRect/>
                                </a:stretch>
                              </pic:blipFill>
                              <pic:spPr bwMode="auto">
                                <a:xfrm>
                                  <a:off x="0" y="0"/>
                                  <a:ext cx="2787015" cy="1099185"/>
                                </a:xfrm>
                                <a:prstGeom prst="rect">
                                  <a:avLst/>
                                </a:prstGeom>
                                <a:noFill/>
                                <a:ln w="9525">
                                  <a:noFill/>
                                  <a:miter lim="800000"/>
                                  <a:headEnd/>
                                  <a:tailEnd/>
                                </a:ln>
                              </pic:spPr>
                            </pic:pic>
                          </a:graphicData>
                        </a:graphic>
                      </wp:inline>
                    </w:drawing>
                  </w:r>
                </w:p>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p w:rsidR="008E1C9E" w:rsidRPr="0054070F" w:rsidRDefault="008E1C9E" w:rsidP="00923681"/>
              </w:txbxContent>
            </v:textbox>
          </v:shape>
        </w:pict>
      </w: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493743" w:rsidRPr="00762860" w:rsidRDefault="00493743" w:rsidP="00E053C0">
      <w:pPr>
        <w:spacing w:after="0"/>
        <w:jc w:val="center"/>
        <w:rPr>
          <w:rFonts w:cs="Arial"/>
          <w:b/>
        </w:rPr>
      </w:pPr>
    </w:p>
    <w:p w:rsidR="00363C50" w:rsidRPr="00F16796" w:rsidRDefault="00363C50" w:rsidP="00363C50">
      <w:pPr>
        <w:spacing w:before="120" w:after="120"/>
        <w:rPr>
          <w:sz w:val="20"/>
          <w:szCs w:val="20"/>
        </w:rPr>
      </w:pPr>
    </w:p>
    <w:tbl>
      <w:tblPr>
        <w:tblW w:w="0" w:type="auto"/>
        <w:tblLook w:val="04A0"/>
      </w:tblPr>
      <w:tblGrid>
        <w:gridCol w:w="8028"/>
        <w:gridCol w:w="1138"/>
      </w:tblGrid>
      <w:tr w:rsidR="00363C50" w:rsidRPr="00363C50" w:rsidTr="00363C50">
        <w:tc>
          <w:tcPr>
            <w:tcW w:w="8028" w:type="dxa"/>
          </w:tcPr>
          <w:p w:rsidR="00363C50" w:rsidRPr="00363C50" w:rsidRDefault="00363C50" w:rsidP="00363C50">
            <w:pPr>
              <w:spacing w:before="120" w:after="120"/>
              <w:rPr>
                <w:sz w:val="20"/>
                <w:szCs w:val="20"/>
              </w:rPr>
            </w:pPr>
            <w:r w:rsidRPr="00F16796">
              <w:rPr>
                <w:b/>
                <w:sz w:val="20"/>
                <w:szCs w:val="20"/>
              </w:rPr>
              <w:t>Content</w:t>
            </w:r>
          </w:p>
        </w:tc>
        <w:tc>
          <w:tcPr>
            <w:tcW w:w="1138" w:type="dxa"/>
          </w:tcPr>
          <w:p w:rsidR="00363C50" w:rsidRPr="00363C50" w:rsidRDefault="00363C50" w:rsidP="00363C50">
            <w:pPr>
              <w:spacing w:before="120" w:after="120"/>
              <w:rPr>
                <w:sz w:val="20"/>
                <w:szCs w:val="20"/>
              </w:rPr>
            </w:pPr>
          </w:p>
        </w:tc>
      </w:tr>
      <w:tr w:rsidR="00363C50" w:rsidRPr="00363C50" w:rsidTr="00363C50">
        <w:tc>
          <w:tcPr>
            <w:tcW w:w="8028" w:type="dxa"/>
          </w:tcPr>
          <w:p w:rsidR="00363C50" w:rsidRPr="00363C50" w:rsidRDefault="00363C50" w:rsidP="00363C50">
            <w:pPr>
              <w:spacing w:before="120" w:after="120"/>
              <w:rPr>
                <w:sz w:val="20"/>
                <w:szCs w:val="20"/>
              </w:rPr>
            </w:pPr>
            <w:r w:rsidRPr="00363C50">
              <w:rPr>
                <w:sz w:val="20"/>
                <w:szCs w:val="20"/>
              </w:rPr>
              <w:t>Introduction to Oil Industry in Turkey</w:t>
            </w:r>
          </w:p>
        </w:tc>
        <w:tc>
          <w:tcPr>
            <w:tcW w:w="1138" w:type="dxa"/>
          </w:tcPr>
          <w:p w:rsidR="00363C50" w:rsidRPr="00363C50" w:rsidRDefault="00363C50" w:rsidP="00363C50">
            <w:pPr>
              <w:spacing w:before="120" w:after="120"/>
              <w:rPr>
                <w:sz w:val="20"/>
                <w:szCs w:val="20"/>
              </w:rPr>
            </w:pPr>
            <w:r>
              <w:rPr>
                <w:sz w:val="20"/>
                <w:szCs w:val="20"/>
              </w:rPr>
              <w:t>2</w:t>
            </w:r>
          </w:p>
        </w:tc>
      </w:tr>
      <w:tr w:rsidR="00363C50" w:rsidRPr="00363C50" w:rsidTr="00363C50">
        <w:tc>
          <w:tcPr>
            <w:tcW w:w="8028" w:type="dxa"/>
          </w:tcPr>
          <w:p w:rsidR="00363C50" w:rsidRPr="00363C50" w:rsidRDefault="00085C9B" w:rsidP="00363C50">
            <w:pPr>
              <w:spacing w:before="120" w:after="120"/>
              <w:rPr>
                <w:sz w:val="20"/>
                <w:szCs w:val="20"/>
              </w:rPr>
            </w:pPr>
            <w:r>
              <w:rPr>
                <w:sz w:val="20"/>
                <w:szCs w:val="20"/>
              </w:rPr>
              <w:t>Players in the Sector</w:t>
            </w:r>
          </w:p>
        </w:tc>
        <w:tc>
          <w:tcPr>
            <w:tcW w:w="1138" w:type="dxa"/>
          </w:tcPr>
          <w:p w:rsidR="00363C50" w:rsidRPr="00363C50" w:rsidRDefault="00363C50" w:rsidP="00363C50">
            <w:pPr>
              <w:spacing w:before="120" w:after="120"/>
              <w:rPr>
                <w:sz w:val="20"/>
                <w:szCs w:val="20"/>
              </w:rPr>
            </w:pPr>
            <w:r>
              <w:rPr>
                <w:sz w:val="20"/>
                <w:szCs w:val="20"/>
              </w:rPr>
              <w:t>2</w:t>
            </w:r>
          </w:p>
        </w:tc>
      </w:tr>
      <w:tr w:rsidR="00363C50" w:rsidRPr="00363C50" w:rsidTr="00363C50">
        <w:tc>
          <w:tcPr>
            <w:tcW w:w="8028" w:type="dxa"/>
          </w:tcPr>
          <w:p w:rsidR="00363C50" w:rsidRPr="00363C50" w:rsidRDefault="00363C50" w:rsidP="00E564EF">
            <w:pPr>
              <w:spacing w:before="120" w:after="120"/>
              <w:rPr>
                <w:sz w:val="20"/>
                <w:szCs w:val="20"/>
              </w:rPr>
            </w:pPr>
            <w:r w:rsidRPr="00363C50">
              <w:rPr>
                <w:rStyle w:val="csssubheading1"/>
                <w:sz w:val="20"/>
                <w:szCs w:val="20"/>
              </w:rPr>
              <w:t xml:space="preserve">Exploration </w:t>
            </w:r>
            <w:r w:rsidR="00E564EF">
              <w:rPr>
                <w:rStyle w:val="csssubheading1"/>
                <w:sz w:val="20"/>
                <w:szCs w:val="20"/>
              </w:rPr>
              <w:t>Activities</w:t>
            </w:r>
          </w:p>
        </w:tc>
        <w:tc>
          <w:tcPr>
            <w:tcW w:w="1138" w:type="dxa"/>
          </w:tcPr>
          <w:p w:rsidR="00363C50" w:rsidRPr="00363C50" w:rsidRDefault="00363C50" w:rsidP="00363C50">
            <w:pPr>
              <w:spacing w:before="120" w:after="120"/>
              <w:rPr>
                <w:sz w:val="20"/>
                <w:szCs w:val="20"/>
              </w:rPr>
            </w:pPr>
            <w:r>
              <w:rPr>
                <w:sz w:val="20"/>
                <w:szCs w:val="20"/>
              </w:rPr>
              <w:t>3</w:t>
            </w:r>
          </w:p>
        </w:tc>
      </w:tr>
      <w:tr w:rsidR="00363C50" w:rsidRPr="00363C50" w:rsidTr="00363C50">
        <w:tc>
          <w:tcPr>
            <w:tcW w:w="8028" w:type="dxa"/>
          </w:tcPr>
          <w:p w:rsidR="00363C50" w:rsidRPr="00363C50" w:rsidRDefault="00363C50" w:rsidP="00363C50">
            <w:pPr>
              <w:spacing w:before="120" w:after="120"/>
              <w:rPr>
                <w:sz w:val="20"/>
                <w:szCs w:val="20"/>
              </w:rPr>
            </w:pPr>
            <w:r w:rsidRPr="00363C50">
              <w:rPr>
                <w:sz w:val="20"/>
                <w:szCs w:val="20"/>
              </w:rPr>
              <w:t>Pipelines</w:t>
            </w:r>
          </w:p>
        </w:tc>
        <w:tc>
          <w:tcPr>
            <w:tcW w:w="1138" w:type="dxa"/>
          </w:tcPr>
          <w:p w:rsidR="00363C50" w:rsidRPr="00363C50" w:rsidRDefault="008E1C9E" w:rsidP="00363C50">
            <w:pPr>
              <w:spacing w:before="120" w:after="120"/>
              <w:rPr>
                <w:sz w:val="20"/>
                <w:szCs w:val="20"/>
              </w:rPr>
            </w:pPr>
            <w:r>
              <w:rPr>
                <w:sz w:val="20"/>
                <w:szCs w:val="20"/>
              </w:rPr>
              <w:t>4</w:t>
            </w:r>
          </w:p>
        </w:tc>
      </w:tr>
      <w:tr w:rsidR="00363C50" w:rsidRPr="00363C50" w:rsidTr="00363C50">
        <w:tc>
          <w:tcPr>
            <w:tcW w:w="8028" w:type="dxa"/>
          </w:tcPr>
          <w:p w:rsidR="00363C50" w:rsidRPr="00363C50" w:rsidRDefault="00363C50" w:rsidP="00363C50">
            <w:pPr>
              <w:spacing w:before="120" w:after="120"/>
              <w:rPr>
                <w:sz w:val="20"/>
                <w:szCs w:val="20"/>
              </w:rPr>
            </w:pPr>
            <w:r w:rsidRPr="00363C50">
              <w:rPr>
                <w:sz w:val="20"/>
                <w:szCs w:val="20"/>
              </w:rPr>
              <w:t>Downstream</w:t>
            </w:r>
          </w:p>
        </w:tc>
        <w:tc>
          <w:tcPr>
            <w:tcW w:w="1138" w:type="dxa"/>
          </w:tcPr>
          <w:p w:rsidR="00363C50" w:rsidRPr="00363C50" w:rsidRDefault="00CD5FC3" w:rsidP="00363C50">
            <w:pPr>
              <w:spacing w:before="120" w:after="120"/>
              <w:rPr>
                <w:sz w:val="20"/>
                <w:szCs w:val="20"/>
              </w:rPr>
            </w:pPr>
            <w:r>
              <w:rPr>
                <w:sz w:val="20"/>
                <w:szCs w:val="20"/>
              </w:rPr>
              <w:t>6</w:t>
            </w:r>
          </w:p>
        </w:tc>
      </w:tr>
      <w:tr w:rsidR="00363C50" w:rsidRPr="00363C50" w:rsidTr="00363C50">
        <w:tc>
          <w:tcPr>
            <w:tcW w:w="8028" w:type="dxa"/>
          </w:tcPr>
          <w:p w:rsidR="00363C50" w:rsidRPr="00363C50" w:rsidRDefault="00363C50" w:rsidP="00363C50">
            <w:pPr>
              <w:spacing w:before="120" w:after="120"/>
              <w:rPr>
                <w:sz w:val="20"/>
                <w:szCs w:val="20"/>
              </w:rPr>
            </w:pPr>
            <w:r w:rsidRPr="00363C50">
              <w:rPr>
                <w:sz w:val="20"/>
                <w:szCs w:val="20"/>
              </w:rPr>
              <w:t>Guideline for Investment in the Petroleum Market</w:t>
            </w:r>
          </w:p>
        </w:tc>
        <w:tc>
          <w:tcPr>
            <w:tcW w:w="1138" w:type="dxa"/>
          </w:tcPr>
          <w:p w:rsidR="00363C50" w:rsidRPr="00363C50" w:rsidRDefault="00AA632F" w:rsidP="00363C50">
            <w:pPr>
              <w:spacing w:before="120" w:after="120"/>
              <w:rPr>
                <w:sz w:val="20"/>
                <w:szCs w:val="20"/>
              </w:rPr>
            </w:pPr>
            <w:r>
              <w:rPr>
                <w:sz w:val="20"/>
                <w:szCs w:val="20"/>
              </w:rPr>
              <w:t>7</w:t>
            </w:r>
          </w:p>
        </w:tc>
      </w:tr>
      <w:tr w:rsidR="00363C50" w:rsidRPr="00363C50" w:rsidTr="00363C50">
        <w:tc>
          <w:tcPr>
            <w:tcW w:w="8028" w:type="dxa"/>
          </w:tcPr>
          <w:p w:rsidR="00363C50" w:rsidRPr="00363C50" w:rsidRDefault="00363C50" w:rsidP="00363C50">
            <w:pPr>
              <w:spacing w:before="120" w:after="120"/>
              <w:rPr>
                <w:sz w:val="20"/>
                <w:szCs w:val="20"/>
              </w:rPr>
            </w:pPr>
            <w:r w:rsidRPr="00363C50">
              <w:rPr>
                <w:sz w:val="20"/>
                <w:szCs w:val="20"/>
              </w:rPr>
              <w:t>Guideline for Investment in the Liquefied Petroleum Gases Market</w:t>
            </w:r>
          </w:p>
        </w:tc>
        <w:tc>
          <w:tcPr>
            <w:tcW w:w="1138" w:type="dxa"/>
          </w:tcPr>
          <w:p w:rsidR="00363C50" w:rsidRPr="00363C50" w:rsidRDefault="00363C50" w:rsidP="00363C50">
            <w:pPr>
              <w:spacing w:before="120" w:after="120"/>
              <w:rPr>
                <w:sz w:val="20"/>
                <w:szCs w:val="20"/>
              </w:rPr>
            </w:pPr>
            <w:r>
              <w:rPr>
                <w:sz w:val="20"/>
                <w:szCs w:val="20"/>
              </w:rPr>
              <w:t>1</w:t>
            </w:r>
            <w:r w:rsidR="00AA632F">
              <w:rPr>
                <w:sz w:val="20"/>
                <w:szCs w:val="20"/>
              </w:rPr>
              <w:t>1</w:t>
            </w:r>
          </w:p>
        </w:tc>
      </w:tr>
      <w:tr w:rsidR="00960E39" w:rsidRPr="00363C50" w:rsidTr="00363C50">
        <w:tc>
          <w:tcPr>
            <w:tcW w:w="8028" w:type="dxa"/>
          </w:tcPr>
          <w:p w:rsidR="00960E39" w:rsidRPr="00363C50" w:rsidRDefault="00960E39" w:rsidP="00363C50">
            <w:pPr>
              <w:spacing w:before="120" w:after="120"/>
              <w:rPr>
                <w:sz w:val="20"/>
                <w:szCs w:val="20"/>
              </w:rPr>
            </w:pPr>
            <w:r>
              <w:rPr>
                <w:sz w:val="20"/>
                <w:szCs w:val="20"/>
              </w:rPr>
              <w:t>Useful Links</w:t>
            </w:r>
          </w:p>
        </w:tc>
        <w:tc>
          <w:tcPr>
            <w:tcW w:w="1138" w:type="dxa"/>
          </w:tcPr>
          <w:p w:rsidR="00960E39" w:rsidRDefault="00F15FA5" w:rsidP="00363C50">
            <w:pPr>
              <w:spacing w:before="120" w:after="120"/>
              <w:rPr>
                <w:sz w:val="20"/>
                <w:szCs w:val="20"/>
              </w:rPr>
            </w:pPr>
            <w:r>
              <w:rPr>
                <w:sz w:val="20"/>
                <w:szCs w:val="20"/>
              </w:rPr>
              <w:t>1</w:t>
            </w:r>
            <w:r w:rsidR="00AA632F">
              <w:rPr>
                <w:sz w:val="20"/>
                <w:szCs w:val="20"/>
              </w:rPr>
              <w:t>4</w:t>
            </w:r>
          </w:p>
        </w:tc>
      </w:tr>
    </w:tbl>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363C50" w:rsidRDefault="00363C50" w:rsidP="00363C50"/>
    <w:p w:rsidR="00E66277" w:rsidRDefault="00E66277" w:rsidP="00E053C0">
      <w:pPr>
        <w:autoSpaceDE w:val="0"/>
        <w:autoSpaceDN w:val="0"/>
        <w:adjustRightInd w:val="0"/>
        <w:spacing w:after="0"/>
        <w:jc w:val="center"/>
        <w:rPr>
          <w:b/>
          <w:sz w:val="20"/>
          <w:szCs w:val="20"/>
        </w:rPr>
      </w:pPr>
      <w:r w:rsidRPr="00F36DBC">
        <w:rPr>
          <w:b/>
          <w:sz w:val="20"/>
          <w:szCs w:val="20"/>
        </w:rPr>
        <w:lastRenderedPageBreak/>
        <w:t>OIL INDUSTRY in TURKEY</w:t>
      </w:r>
    </w:p>
    <w:p w:rsidR="003C7944" w:rsidRPr="00F36DBC" w:rsidRDefault="003C7944" w:rsidP="003C7944">
      <w:pPr>
        <w:autoSpaceDE w:val="0"/>
        <w:autoSpaceDN w:val="0"/>
        <w:adjustRightInd w:val="0"/>
        <w:spacing w:after="0"/>
        <w:rPr>
          <w:b/>
          <w:sz w:val="20"/>
          <w:szCs w:val="20"/>
        </w:rPr>
      </w:pPr>
      <w:r>
        <w:rPr>
          <w:b/>
          <w:sz w:val="20"/>
          <w:szCs w:val="20"/>
        </w:rPr>
        <w:t>Introduction</w:t>
      </w:r>
    </w:p>
    <w:p w:rsidR="003005CB" w:rsidRPr="00F36DBC" w:rsidRDefault="0059496F" w:rsidP="00E053C0">
      <w:pPr>
        <w:autoSpaceDE w:val="0"/>
        <w:autoSpaceDN w:val="0"/>
        <w:adjustRightInd w:val="0"/>
        <w:spacing w:after="0"/>
        <w:rPr>
          <w:sz w:val="20"/>
          <w:szCs w:val="20"/>
        </w:rPr>
      </w:pPr>
      <w:r w:rsidRPr="00F36DBC">
        <w:rPr>
          <w:sz w:val="20"/>
          <w:szCs w:val="20"/>
        </w:rPr>
        <w:t xml:space="preserve">Turkey is not a rich country in terms of oil reserves, while the country’s robust economy and growing industry require a huge demand for energy in general, oil in particular. Hence, to meet such an inelastic and growing promises profitable investment opportunities for investors. </w:t>
      </w:r>
      <w:r w:rsidR="00DC44B4" w:rsidRPr="00F36DBC">
        <w:rPr>
          <w:sz w:val="20"/>
          <w:szCs w:val="20"/>
        </w:rPr>
        <w:t>According to</w:t>
      </w:r>
      <w:r w:rsidR="00B3231D">
        <w:rPr>
          <w:sz w:val="20"/>
          <w:szCs w:val="20"/>
        </w:rPr>
        <w:t xml:space="preserve"> the General Directorate of Petroleum Affairs</w:t>
      </w:r>
      <w:r w:rsidR="00713C6F">
        <w:rPr>
          <w:i/>
          <w:iCs/>
          <w:sz w:val="20"/>
          <w:szCs w:val="20"/>
        </w:rPr>
        <w:t>,</w:t>
      </w:r>
      <w:r w:rsidR="00E66277" w:rsidRPr="00F36DBC">
        <w:rPr>
          <w:sz w:val="20"/>
          <w:szCs w:val="20"/>
        </w:rPr>
        <w:t xml:space="preserve"> Turkey has</w:t>
      </w:r>
      <w:r w:rsidR="00DC44B4" w:rsidRPr="00F36DBC">
        <w:rPr>
          <w:sz w:val="20"/>
          <w:szCs w:val="20"/>
        </w:rPr>
        <w:t xml:space="preserve"> </w:t>
      </w:r>
      <w:r w:rsidR="00713C6F">
        <w:rPr>
          <w:sz w:val="20"/>
          <w:szCs w:val="20"/>
        </w:rPr>
        <w:t xml:space="preserve">around </w:t>
      </w:r>
      <w:r w:rsidR="004E29EC">
        <w:rPr>
          <w:sz w:val="20"/>
          <w:szCs w:val="20"/>
        </w:rPr>
        <w:t>265</w:t>
      </w:r>
      <w:r w:rsidR="00DC44B4" w:rsidRPr="00F36DBC">
        <w:rPr>
          <w:sz w:val="20"/>
          <w:szCs w:val="20"/>
        </w:rPr>
        <w:t xml:space="preserve"> million barrels of </w:t>
      </w:r>
      <w:r w:rsidR="004E29EC">
        <w:rPr>
          <w:sz w:val="20"/>
          <w:szCs w:val="20"/>
        </w:rPr>
        <w:t>remaining recoverable oil reserves by the end of 2007, while having 6</w:t>
      </w:r>
      <w:proofErr w:type="gramStart"/>
      <w:r w:rsidR="004E29EC">
        <w:rPr>
          <w:sz w:val="20"/>
          <w:szCs w:val="20"/>
        </w:rPr>
        <w:t>,7</w:t>
      </w:r>
      <w:proofErr w:type="gramEnd"/>
      <w:r w:rsidR="004E29EC">
        <w:rPr>
          <w:sz w:val="20"/>
          <w:szCs w:val="20"/>
        </w:rPr>
        <w:t xml:space="preserve"> billion barrels of proven and probable-possible oil reserves in total. </w:t>
      </w:r>
      <w:r w:rsidR="00DC44B4" w:rsidRPr="00F36DBC">
        <w:rPr>
          <w:sz w:val="20"/>
          <w:szCs w:val="20"/>
        </w:rPr>
        <w:t xml:space="preserve"> </w:t>
      </w:r>
      <w:r w:rsidR="00E66277" w:rsidRPr="00F36DBC">
        <w:rPr>
          <w:sz w:val="20"/>
          <w:szCs w:val="20"/>
        </w:rPr>
        <w:t xml:space="preserve">In 2007, </w:t>
      </w:r>
      <w:r w:rsidR="00E079FE">
        <w:rPr>
          <w:sz w:val="20"/>
          <w:szCs w:val="20"/>
        </w:rPr>
        <w:t>Turkey produced 41</w:t>
      </w:r>
      <w:r w:rsidR="00DC44B4" w:rsidRPr="00F36DBC">
        <w:rPr>
          <w:sz w:val="20"/>
          <w:szCs w:val="20"/>
        </w:rPr>
        <w:t>,000</w:t>
      </w:r>
      <w:r w:rsidR="00E079FE">
        <w:rPr>
          <w:sz w:val="20"/>
          <w:szCs w:val="20"/>
        </w:rPr>
        <w:t xml:space="preserve"> barrels per day (bbl/d) of crude oil</w:t>
      </w:r>
      <w:r w:rsidR="00DC44B4" w:rsidRPr="00F36DBC">
        <w:rPr>
          <w:sz w:val="20"/>
          <w:szCs w:val="20"/>
        </w:rPr>
        <w:t xml:space="preserve">. Turkey’s </w:t>
      </w:r>
      <w:r w:rsidR="00713C6F">
        <w:rPr>
          <w:sz w:val="20"/>
          <w:szCs w:val="20"/>
        </w:rPr>
        <w:t xml:space="preserve">total </w:t>
      </w:r>
      <w:r w:rsidR="00DC44B4" w:rsidRPr="00F36DBC">
        <w:rPr>
          <w:sz w:val="20"/>
          <w:szCs w:val="20"/>
        </w:rPr>
        <w:t xml:space="preserve">oil production has declined by half since 1991, </w:t>
      </w:r>
      <w:r w:rsidR="00E079FE">
        <w:rPr>
          <w:sz w:val="20"/>
          <w:szCs w:val="20"/>
        </w:rPr>
        <w:t xml:space="preserve">when production peaked </w:t>
      </w:r>
      <w:proofErr w:type="gramStart"/>
      <w:r w:rsidR="00E079FE">
        <w:rPr>
          <w:sz w:val="20"/>
          <w:szCs w:val="20"/>
        </w:rPr>
        <w:t>at 85,741</w:t>
      </w:r>
      <w:r w:rsidR="00DC44B4" w:rsidRPr="00F36DBC">
        <w:rPr>
          <w:sz w:val="20"/>
          <w:szCs w:val="20"/>
        </w:rPr>
        <w:t xml:space="preserve"> bbl/d</w:t>
      </w:r>
      <w:proofErr w:type="gramEnd"/>
      <w:r w:rsidR="00DC44B4" w:rsidRPr="00F36DBC">
        <w:rPr>
          <w:sz w:val="20"/>
          <w:szCs w:val="20"/>
        </w:rPr>
        <w:t xml:space="preserve">. </w:t>
      </w:r>
      <w:r w:rsidR="00F61E93" w:rsidRPr="00F36DBC">
        <w:rPr>
          <w:sz w:val="20"/>
          <w:szCs w:val="20"/>
        </w:rPr>
        <w:t xml:space="preserve"> Turkey</w:t>
      </w:r>
      <w:r w:rsidR="00713C6F">
        <w:rPr>
          <w:sz w:val="20"/>
          <w:szCs w:val="20"/>
        </w:rPr>
        <w:t xml:space="preserve">’s total </w:t>
      </w:r>
      <w:r w:rsidR="00DC44B4" w:rsidRPr="00F36DBC">
        <w:rPr>
          <w:sz w:val="20"/>
          <w:szCs w:val="20"/>
        </w:rPr>
        <w:t>consum</w:t>
      </w:r>
      <w:r w:rsidR="00713C6F">
        <w:rPr>
          <w:sz w:val="20"/>
          <w:szCs w:val="20"/>
        </w:rPr>
        <w:t>ption of oil was</w:t>
      </w:r>
      <w:r w:rsidR="00550D54">
        <w:rPr>
          <w:sz w:val="20"/>
          <w:szCs w:val="20"/>
        </w:rPr>
        <w:t xml:space="preserve"> 595,970</w:t>
      </w:r>
      <w:r w:rsidR="00713C6F">
        <w:rPr>
          <w:sz w:val="20"/>
          <w:szCs w:val="20"/>
        </w:rPr>
        <w:t xml:space="preserve"> bbl/d</w:t>
      </w:r>
      <w:r w:rsidR="00E66277" w:rsidRPr="00F36DBC">
        <w:rPr>
          <w:sz w:val="20"/>
          <w:szCs w:val="20"/>
        </w:rPr>
        <w:t xml:space="preserve"> in 2007</w:t>
      </w:r>
      <w:r w:rsidR="00DC44B4" w:rsidRPr="00F36DBC">
        <w:rPr>
          <w:sz w:val="20"/>
          <w:szCs w:val="20"/>
        </w:rPr>
        <w:t xml:space="preserve">, </w:t>
      </w:r>
      <w:r w:rsidR="00550D54">
        <w:rPr>
          <w:sz w:val="20"/>
          <w:szCs w:val="20"/>
        </w:rPr>
        <w:t>up about 3</w:t>
      </w:r>
      <w:proofErr w:type="gramStart"/>
      <w:r w:rsidR="00550D54">
        <w:rPr>
          <w:sz w:val="20"/>
          <w:szCs w:val="20"/>
        </w:rPr>
        <w:t>,5</w:t>
      </w:r>
      <w:proofErr w:type="gramEnd"/>
      <w:r w:rsidR="00EA7E4E" w:rsidRPr="00F36DBC">
        <w:rPr>
          <w:sz w:val="20"/>
          <w:szCs w:val="20"/>
        </w:rPr>
        <w:t xml:space="preserve"> percent from 2006</w:t>
      </w:r>
      <w:r w:rsidR="00DC44B4" w:rsidRPr="00F36DBC">
        <w:rPr>
          <w:sz w:val="20"/>
          <w:szCs w:val="20"/>
        </w:rPr>
        <w:t xml:space="preserve"> figures.</w:t>
      </w:r>
    </w:p>
    <w:p w:rsidR="00F61E93" w:rsidRDefault="00DE5BB2" w:rsidP="00DE5BB2">
      <w:pPr>
        <w:autoSpaceDE w:val="0"/>
        <w:autoSpaceDN w:val="0"/>
        <w:adjustRightInd w:val="0"/>
        <w:spacing w:after="0"/>
        <w:jc w:val="center"/>
      </w:pPr>
      <w:r w:rsidRPr="00DE5BB2">
        <w:rPr>
          <w:noProof/>
          <w:lang w:val="tr-TR" w:eastAsia="tr-TR"/>
        </w:rPr>
        <w:drawing>
          <wp:inline distT="0" distB="0" distL="0" distR="0">
            <wp:extent cx="4800600" cy="2479431"/>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6261" w:rsidRPr="00F36DBC" w:rsidRDefault="00DC5F21" w:rsidP="00E053C0">
      <w:pPr>
        <w:autoSpaceDE w:val="0"/>
        <w:autoSpaceDN w:val="0"/>
        <w:adjustRightInd w:val="0"/>
        <w:spacing w:after="0"/>
        <w:rPr>
          <w:sz w:val="20"/>
          <w:szCs w:val="20"/>
        </w:rPr>
      </w:pPr>
      <w:r w:rsidRPr="00F36DBC">
        <w:rPr>
          <w:sz w:val="20"/>
          <w:szCs w:val="20"/>
        </w:rPr>
        <w:t xml:space="preserve">Turkey imported </w:t>
      </w:r>
      <w:r w:rsidR="00556036">
        <w:rPr>
          <w:sz w:val="20"/>
          <w:szCs w:val="20"/>
        </w:rPr>
        <w:t xml:space="preserve">451,571 bbl/d of crude oil in 2007, </w:t>
      </w:r>
      <w:r w:rsidR="00893732">
        <w:rPr>
          <w:sz w:val="20"/>
          <w:szCs w:val="20"/>
        </w:rPr>
        <w:t>around 40 % of which was imported from Russia while 38 % from Iran, and Saudi Arabia came third 14 %.</w:t>
      </w:r>
      <w:r w:rsidRPr="00F36DBC">
        <w:rPr>
          <w:sz w:val="20"/>
          <w:szCs w:val="20"/>
        </w:rPr>
        <w:t xml:space="preserve"> </w:t>
      </w:r>
      <w:r w:rsidR="006863C5">
        <w:rPr>
          <w:sz w:val="20"/>
          <w:szCs w:val="20"/>
        </w:rPr>
        <w:t>The import of crude oil cost Turkey USD 12 billion in 2007.</w:t>
      </w:r>
    </w:p>
    <w:p w:rsidR="00EA7E4E" w:rsidRDefault="00556036" w:rsidP="00E053C0">
      <w:pPr>
        <w:autoSpaceDE w:val="0"/>
        <w:autoSpaceDN w:val="0"/>
        <w:adjustRightInd w:val="0"/>
        <w:spacing w:after="0"/>
        <w:jc w:val="center"/>
      </w:pPr>
      <w:r w:rsidRPr="00556036">
        <w:rPr>
          <w:noProof/>
          <w:lang w:val="tr-TR" w:eastAsia="tr-TR"/>
        </w:rPr>
        <w:drawing>
          <wp:inline distT="0" distB="0" distL="0" distR="0">
            <wp:extent cx="4835769" cy="2461846"/>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44B4" w:rsidRPr="00F36DBC" w:rsidRDefault="00085C9B" w:rsidP="00E053C0">
      <w:pPr>
        <w:spacing w:after="0"/>
        <w:rPr>
          <w:b/>
          <w:sz w:val="20"/>
          <w:szCs w:val="20"/>
        </w:rPr>
      </w:pPr>
      <w:r>
        <w:rPr>
          <w:rStyle w:val="csssubheading1"/>
          <w:b/>
          <w:sz w:val="20"/>
          <w:szCs w:val="20"/>
        </w:rPr>
        <w:t>Players in the Sector</w:t>
      </w:r>
    </w:p>
    <w:p w:rsidR="00DC44B4" w:rsidRPr="00F36DBC" w:rsidRDefault="00DC44B4" w:rsidP="00E053C0">
      <w:pPr>
        <w:spacing w:after="0"/>
        <w:rPr>
          <w:sz w:val="20"/>
          <w:szCs w:val="20"/>
        </w:rPr>
      </w:pPr>
      <w:r w:rsidRPr="00F36DBC">
        <w:rPr>
          <w:sz w:val="20"/>
          <w:szCs w:val="20"/>
        </w:rPr>
        <w:t>Turkey’s oil sector is mixed, comprised of various state-owned, private, and foreign companies. Oil exploration and production activities are dominated by the Turkish Petroleum Corporation (TPAO), which accounts for roughly 70 percent of Turkey’s domestic oil output. The principal government body charged with monitoring the oil sector is the Ministry of Energy an</w:t>
      </w:r>
      <w:r w:rsidR="00EA5B2C" w:rsidRPr="00F36DBC">
        <w:rPr>
          <w:sz w:val="20"/>
          <w:szCs w:val="20"/>
        </w:rPr>
        <w:t>d Natural Resources (MENR</w:t>
      </w:r>
      <w:r w:rsidRPr="00F36DBC">
        <w:rPr>
          <w:sz w:val="20"/>
          <w:szCs w:val="20"/>
        </w:rPr>
        <w:t xml:space="preserve">), which is the key decision-making body that approves new projects along with the State Planning Organization (DPT). </w:t>
      </w:r>
    </w:p>
    <w:p w:rsidR="00E053C0" w:rsidRPr="00F36DBC" w:rsidRDefault="00E053C0" w:rsidP="00E053C0">
      <w:pPr>
        <w:spacing w:after="0"/>
        <w:rPr>
          <w:sz w:val="20"/>
          <w:szCs w:val="20"/>
        </w:rPr>
      </w:pPr>
    </w:p>
    <w:p w:rsidR="00DC44B4" w:rsidRPr="00F36DBC" w:rsidRDefault="00DC44B4" w:rsidP="00E053C0">
      <w:pPr>
        <w:spacing w:after="0"/>
        <w:rPr>
          <w:sz w:val="20"/>
          <w:szCs w:val="20"/>
        </w:rPr>
      </w:pPr>
      <w:r w:rsidRPr="00F36DBC">
        <w:rPr>
          <w:sz w:val="20"/>
          <w:szCs w:val="20"/>
        </w:rPr>
        <w:t xml:space="preserve">The downstream oil refining and storage sector is dominated by former state-owned enterprise </w:t>
      </w:r>
      <w:r w:rsidR="002618E4">
        <w:rPr>
          <w:rFonts w:cs="CenturyGothic"/>
          <w:sz w:val="20"/>
          <w:szCs w:val="20"/>
          <w:lang w:val="tr-TR" w:eastAsia="tr-TR"/>
        </w:rPr>
        <w:t>Turkish Petroleum Refineries Co.</w:t>
      </w:r>
      <w:r w:rsidR="002618E4">
        <w:rPr>
          <w:sz w:val="20"/>
          <w:szCs w:val="20"/>
        </w:rPr>
        <w:t xml:space="preserve"> (</w:t>
      </w:r>
      <w:r w:rsidRPr="00F36DBC">
        <w:rPr>
          <w:sz w:val="20"/>
          <w:szCs w:val="20"/>
        </w:rPr>
        <w:t>T</w:t>
      </w:r>
      <w:r w:rsidR="002618E4">
        <w:rPr>
          <w:sz w:val="20"/>
          <w:szCs w:val="20"/>
        </w:rPr>
        <w:t>UPRAS)</w:t>
      </w:r>
      <w:r w:rsidR="008E1C9E">
        <w:rPr>
          <w:sz w:val="20"/>
          <w:szCs w:val="20"/>
        </w:rPr>
        <w:t xml:space="preserve">, which controls </w:t>
      </w:r>
      <w:r w:rsidRPr="00F36DBC">
        <w:rPr>
          <w:sz w:val="20"/>
          <w:szCs w:val="20"/>
        </w:rPr>
        <w:t>Turkey’s</w:t>
      </w:r>
      <w:r w:rsidR="008E1C9E">
        <w:rPr>
          <w:sz w:val="20"/>
          <w:szCs w:val="20"/>
        </w:rPr>
        <w:t xml:space="preserve"> entire</w:t>
      </w:r>
      <w:r w:rsidRPr="00F36DBC">
        <w:rPr>
          <w:sz w:val="20"/>
          <w:szCs w:val="20"/>
        </w:rPr>
        <w:t xml:space="preserve"> refining activities. In September 2005, the </w:t>
      </w:r>
      <w:proofErr w:type="spellStart"/>
      <w:r w:rsidRPr="00F36DBC">
        <w:rPr>
          <w:sz w:val="20"/>
          <w:szCs w:val="20"/>
        </w:rPr>
        <w:t>Koc</w:t>
      </w:r>
      <w:proofErr w:type="spellEnd"/>
      <w:r w:rsidRPr="00F36DBC">
        <w:rPr>
          <w:sz w:val="20"/>
          <w:szCs w:val="20"/>
        </w:rPr>
        <w:t>-Shell Joint Venture Group purchased a 51 percent st</w:t>
      </w:r>
      <w:r w:rsidR="00F431CD">
        <w:rPr>
          <w:sz w:val="20"/>
          <w:szCs w:val="20"/>
        </w:rPr>
        <w:t xml:space="preserve">ake in </w:t>
      </w:r>
      <w:proofErr w:type="spellStart"/>
      <w:r w:rsidR="00F431CD">
        <w:rPr>
          <w:sz w:val="20"/>
          <w:szCs w:val="20"/>
        </w:rPr>
        <w:t>Tupras</w:t>
      </w:r>
      <w:proofErr w:type="spellEnd"/>
      <w:r w:rsidR="00F431CD">
        <w:rPr>
          <w:sz w:val="20"/>
          <w:szCs w:val="20"/>
        </w:rPr>
        <w:t xml:space="preserve"> for $4.14 billion</w:t>
      </w:r>
      <w:r w:rsidR="002618E4">
        <w:rPr>
          <w:sz w:val="20"/>
          <w:szCs w:val="20"/>
        </w:rPr>
        <w:t>.</w:t>
      </w:r>
      <w:r w:rsidRPr="00F36DBC">
        <w:rPr>
          <w:sz w:val="20"/>
          <w:szCs w:val="20"/>
        </w:rPr>
        <w:t xml:space="preserve"> After purchasing the shares, the </w:t>
      </w:r>
      <w:proofErr w:type="spellStart"/>
      <w:r w:rsidRPr="00F36DBC">
        <w:rPr>
          <w:sz w:val="20"/>
          <w:szCs w:val="20"/>
        </w:rPr>
        <w:t>Koc</w:t>
      </w:r>
      <w:proofErr w:type="spellEnd"/>
      <w:r w:rsidRPr="00F36DBC">
        <w:rPr>
          <w:sz w:val="20"/>
          <w:szCs w:val="20"/>
        </w:rPr>
        <w:t xml:space="preserve">-Shell </w:t>
      </w:r>
      <w:r w:rsidRPr="00F36DBC">
        <w:rPr>
          <w:sz w:val="20"/>
          <w:szCs w:val="20"/>
        </w:rPr>
        <w:lastRenderedPageBreak/>
        <w:t xml:space="preserve">consortium formed </w:t>
      </w:r>
      <w:proofErr w:type="spellStart"/>
      <w:r w:rsidRPr="00F36DBC">
        <w:rPr>
          <w:sz w:val="20"/>
          <w:szCs w:val="20"/>
        </w:rPr>
        <w:t>Enerji</w:t>
      </w:r>
      <w:proofErr w:type="spellEnd"/>
      <w:r w:rsidRPr="00F36DBC">
        <w:rPr>
          <w:sz w:val="20"/>
          <w:szCs w:val="20"/>
        </w:rPr>
        <w:t xml:space="preserve"> </w:t>
      </w:r>
      <w:proofErr w:type="spellStart"/>
      <w:r w:rsidRPr="00F36DBC">
        <w:rPr>
          <w:sz w:val="20"/>
          <w:szCs w:val="20"/>
        </w:rPr>
        <w:t>Yatirimlan</w:t>
      </w:r>
      <w:proofErr w:type="spellEnd"/>
      <w:r w:rsidRPr="00F36DBC">
        <w:rPr>
          <w:sz w:val="20"/>
          <w:szCs w:val="20"/>
        </w:rPr>
        <w:t xml:space="preserve"> SA to take delivery of the transferred shares. In</w:t>
      </w:r>
      <w:r w:rsidR="00E053C0" w:rsidRPr="00F36DBC">
        <w:rPr>
          <w:sz w:val="20"/>
          <w:szCs w:val="20"/>
        </w:rPr>
        <w:t xml:space="preserve"> the oil transport sector, </w:t>
      </w:r>
      <w:r w:rsidR="00973E1E">
        <w:rPr>
          <w:sz w:val="20"/>
          <w:szCs w:val="20"/>
        </w:rPr>
        <w:t>Petroleum Pipelines Co. (</w:t>
      </w:r>
      <w:r w:rsidR="00E053C0" w:rsidRPr="00F36DBC">
        <w:rPr>
          <w:sz w:val="20"/>
          <w:szCs w:val="20"/>
        </w:rPr>
        <w:t>BOTAS</w:t>
      </w:r>
      <w:r w:rsidR="00973E1E">
        <w:rPr>
          <w:sz w:val="20"/>
          <w:szCs w:val="20"/>
        </w:rPr>
        <w:t>)</w:t>
      </w:r>
      <w:r w:rsidRPr="00F36DBC">
        <w:rPr>
          <w:sz w:val="20"/>
          <w:szCs w:val="20"/>
        </w:rPr>
        <w:t xml:space="preserve"> owns and operates virtually the entire pipeline network in Turkey. </w:t>
      </w:r>
      <w:r w:rsidR="00F15FA5">
        <w:rPr>
          <w:sz w:val="20"/>
          <w:szCs w:val="20"/>
        </w:rPr>
        <w:t xml:space="preserve"> </w:t>
      </w:r>
      <w:r w:rsidRPr="00F36DBC">
        <w:rPr>
          <w:sz w:val="20"/>
          <w:szCs w:val="20"/>
        </w:rPr>
        <w:t>In December 2003, a petroleum market reform bill was passed by Turkey's parliament. The Petroleum Market Law aims to remove state controls on the hydrocarbon sector, liberalize pricing of oil and oil products, end restrictions on vertical integration, and integrate pipeline, refining, and distribution functions. Also, as a result of this law, price ceilings and import quotas on petroleum products were lifted in early 2005.</w:t>
      </w:r>
    </w:p>
    <w:p w:rsidR="00E053C0" w:rsidRPr="00F36DBC" w:rsidRDefault="00E053C0" w:rsidP="00E053C0">
      <w:pPr>
        <w:spacing w:after="0"/>
        <w:rPr>
          <w:b/>
          <w:sz w:val="20"/>
          <w:szCs w:val="20"/>
        </w:rPr>
      </w:pPr>
    </w:p>
    <w:p w:rsidR="00FA6B44" w:rsidRPr="00F36DBC" w:rsidRDefault="00DC44B4" w:rsidP="00E053C0">
      <w:pPr>
        <w:spacing w:after="0"/>
        <w:rPr>
          <w:rStyle w:val="csssubheading1"/>
          <w:b/>
          <w:sz w:val="20"/>
          <w:szCs w:val="20"/>
        </w:rPr>
      </w:pPr>
      <w:r w:rsidRPr="00F36DBC">
        <w:rPr>
          <w:rStyle w:val="csssubheading1"/>
          <w:b/>
          <w:sz w:val="20"/>
          <w:szCs w:val="20"/>
        </w:rPr>
        <w:t xml:space="preserve">Exploration </w:t>
      </w:r>
      <w:r w:rsidR="00E564EF">
        <w:rPr>
          <w:rStyle w:val="csssubheading1"/>
          <w:b/>
          <w:sz w:val="20"/>
          <w:szCs w:val="20"/>
        </w:rPr>
        <w:t xml:space="preserve">Activities </w:t>
      </w:r>
    </w:p>
    <w:p w:rsidR="00486B6E" w:rsidRDefault="00A317E2" w:rsidP="00E053C0">
      <w:pPr>
        <w:spacing w:after="0"/>
        <w:rPr>
          <w:bCs/>
          <w:sz w:val="20"/>
          <w:szCs w:val="20"/>
          <w:lang w:val="tr-TR"/>
        </w:rPr>
      </w:pPr>
      <w:r>
        <w:rPr>
          <w:sz w:val="20"/>
          <w:szCs w:val="20"/>
        </w:rPr>
        <w:t xml:space="preserve">Exploration licenses are granted by the General Directorate of Petroleum Affairs, while other licenses are granted by the Energy Market Regulation Authority. </w:t>
      </w:r>
      <w:r w:rsidR="00DC44B4" w:rsidRPr="00F36DBC">
        <w:rPr>
          <w:sz w:val="20"/>
          <w:szCs w:val="20"/>
        </w:rPr>
        <w:t>The majority of Turkey’s oil reserves are located in southeastern part of the country and in the Thr</w:t>
      </w:r>
      <w:r w:rsidR="00EA5B2C" w:rsidRPr="00F36DBC">
        <w:rPr>
          <w:sz w:val="20"/>
          <w:szCs w:val="20"/>
        </w:rPr>
        <w:t xml:space="preserve">ace region in the northwest. </w:t>
      </w:r>
      <w:r w:rsidR="00DC44B4" w:rsidRPr="00F36DBC">
        <w:rPr>
          <w:sz w:val="20"/>
          <w:szCs w:val="20"/>
        </w:rPr>
        <w:t>International oil majors</w:t>
      </w:r>
      <w:r w:rsidR="00EA5B2C" w:rsidRPr="00F36DBC">
        <w:rPr>
          <w:sz w:val="20"/>
          <w:szCs w:val="20"/>
        </w:rPr>
        <w:t>,</w:t>
      </w:r>
      <w:r w:rsidR="00DC44B4" w:rsidRPr="00F36DBC">
        <w:rPr>
          <w:sz w:val="20"/>
          <w:szCs w:val="20"/>
        </w:rPr>
        <w:t xml:space="preserve"> Royal Dutch Shell and ExxonMobil are the largest foreign oil producers in Turkey. </w:t>
      </w:r>
      <w:r w:rsidR="004E29EC" w:rsidRPr="002B44AB">
        <w:rPr>
          <w:bCs/>
          <w:sz w:val="20"/>
          <w:szCs w:val="20"/>
          <w:lang w:val="tr-TR"/>
        </w:rPr>
        <w:t>The leading exploration and production companies are TPAO, Perenco, Toredor, Aladdin Middle East Joint Venture, Thrace Basin, Amity Oil, Pinacle, Petroleum &amp; Dorchester, Stratic.</w:t>
      </w:r>
      <w:r w:rsidR="00F15FA5">
        <w:rPr>
          <w:bCs/>
          <w:sz w:val="20"/>
          <w:szCs w:val="20"/>
          <w:lang w:val="tr-TR"/>
        </w:rPr>
        <w:t xml:space="preserve"> </w:t>
      </w:r>
    </w:p>
    <w:p w:rsidR="00486B6E" w:rsidRDefault="00486B6E" w:rsidP="00E053C0">
      <w:pPr>
        <w:spacing w:after="0"/>
        <w:rPr>
          <w:bCs/>
          <w:sz w:val="20"/>
          <w:szCs w:val="20"/>
          <w:lang w:val="tr-TR"/>
        </w:rPr>
      </w:pPr>
    </w:p>
    <w:p w:rsidR="00486B6E" w:rsidRPr="00486B6E" w:rsidRDefault="00486B6E" w:rsidP="00486B6E">
      <w:pPr>
        <w:spacing w:after="0"/>
        <w:jc w:val="center"/>
        <w:rPr>
          <w:b/>
          <w:bCs/>
          <w:sz w:val="20"/>
          <w:szCs w:val="20"/>
          <w:lang w:val="tr-TR"/>
        </w:rPr>
      </w:pPr>
      <w:r w:rsidRPr="00486B6E">
        <w:rPr>
          <w:b/>
          <w:bCs/>
          <w:sz w:val="20"/>
          <w:szCs w:val="20"/>
          <w:lang w:val="tr-TR"/>
        </w:rPr>
        <w:t>Exploration Fields in Turkey</w:t>
      </w:r>
    </w:p>
    <w:p w:rsidR="00486B6E" w:rsidRDefault="00486B6E" w:rsidP="00AA632F">
      <w:pPr>
        <w:spacing w:after="0"/>
        <w:jc w:val="center"/>
        <w:rPr>
          <w:bCs/>
          <w:sz w:val="20"/>
          <w:szCs w:val="20"/>
          <w:lang w:val="tr-TR"/>
        </w:rPr>
      </w:pPr>
      <w:r w:rsidRPr="00486B6E">
        <w:rPr>
          <w:bCs/>
          <w:sz w:val="20"/>
          <w:szCs w:val="20"/>
          <w:lang w:val="tr-TR"/>
        </w:rPr>
        <w:drawing>
          <wp:inline distT="0" distB="0" distL="0" distR="0">
            <wp:extent cx="5467350" cy="3024553"/>
            <wp:effectExtent l="19050" t="0" r="0" b="0"/>
            <wp:docPr id="1" name="Picture 1" descr="sunum_sismik"/>
            <wp:cNvGraphicFramePr/>
            <a:graphic xmlns:a="http://schemas.openxmlformats.org/drawingml/2006/main">
              <a:graphicData uri="http://schemas.openxmlformats.org/drawingml/2006/picture">
                <pic:pic xmlns:pic="http://schemas.openxmlformats.org/drawingml/2006/picture">
                  <pic:nvPicPr>
                    <pic:cNvPr id="326658" name="Picture 2" descr="sunum_sismik"/>
                    <pic:cNvPicPr>
                      <a:picLocks noChangeAspect="1" noChangeArrowheads="1"/>
                    </pic:cNvPicPr>
                  </pic:nvPicPr>
                  <pic:blipFill>
                    <a:blip r:embed="rId13"/>
                    <a:srcRect/>
                    <a:stretch>
                      <a:fillRect/>
                    </a:stretch>
                  </pic:blipFill>
                  <pic:spPr bwMode="auto">
                    <a:xfrm>
                      <a:off x="0" y="0"/>
                      <a:ext cx="5467350" cy="3024553"/>
                    </a:xfrm>
                    <a:prstGeom prst="rect">
                      <a:avLst/>
                    </a:prstGeom>
                    <a:noFill/>
                    <a:ln w="9525">
                      <a:noFill/>
                      <a:miter lim="800000"/>
                      <a:headEnd/>
                      <a:tailEnd/>
                    </a:ln>
                  </pic:spPr>
                </pic:pic>
              </a:graphicData>
            </a:graphic>
          </wp:inline>
        </w:drawing>
      </w:r>
    </w:p>
    <w:p w:rsidR="00486B6E" w:rsidRDefault="00486B6E" w:rsidP="00E053C0">
      <w:pPr>
        <w:spacing w:after="0"/>
        <w:rPr>
          <w:bCs/>
          <w:sz w:val="20"/>
          <w:szCs w:val="20"/>
          <w:lang w:val="tr-TR"/>
        </w:rPr>
      </w:pPr>
    </w:p>
    <w:p w:rsidR="00DC44B4" w:rsidRPr="00F36DBC" w:rsidRDefault="00DC44B4" w:rsidP="00E053C0">
      <w:pPr>
        <w:spacing w:after="0"/>
        <w:rPr>
          <w:sz w:val="20"/>
          <w:szCs w:val="20"/>
        </w:rPr>
      </w:pPr>
      <w:r w:rsidRPr="00F36DBC">
        <w:rPr>
          <w:sz w:val="20"/>
          <w:szCs w:val="20"/>
        </w:rPr>
        <w:t xml:space="preserve">Recent oil exploration activities have focused on Turkey’s offshore regions, where the country holds oil prospects in the Black, Mediterranean, and Aegean Seas. </w:t>
      </w:r>
      <w:r w:rsidR="00E053C0" w:rsidRPr="00F36DBC">
        <w:rPr>
          <w:sz w:val="20"/>
          <w:szCs w:val="20"/>
        </w:rPr>
        <w:t>S</w:t>
      </w:r>
      <w:r w:rsidRPr="00F36DBC">
        <w:rPr>
          <w:sz w:val="20"/>
          <w:szCs w:val="20"/>
        </w:rPr>
        <w:t>ome reports suggest the Aegean Sea c</w:t>
      </w:r>
      <w:r w:rsidR="00E053C0" w:rsidRPr="00F36DBC">
        <w:rPr>
          <w:sz w:val="20"/>
          <w:szCs w:val="20"/>
        </w:rPr>
        <w:t>ould hold sizeable oil reserves</w:t>
      </w:r>
      <w:r w:rsidRPr="00F36DBC">
        <w:rPr>
          <w:sz w:val="20"/>
          <w:szCs w:val="20"/>
        </w:rPr>
        <w:t xml:space="preserve">. </w:t>
      </w:r>
      <w:r w:rsidR="00486B6E" w:rsidRPr="00486B6E">
        <w:rPr>
          <w:bCs/>
          <w:sz w:val="20"/>
          <w:szCs w:val="20"/>
          <w:lang w:val="tr-TR"/>
        </w:rPr>
        <w:t xml:space="preserve">20% of the onshore and 1% of the offhore have been explored yet. </w:t>
      </w:r>
      <w:r w:rsidR="00486B6E">
        <w:rPr>
          <w:bCs/>
          <w:sz w:val="20"/>
          <w:szCs w:val="20"/>
          <w:lang w:val="tr-TR"/>
        </w:rPr>
        <w:t>In</w:t>
      </w:r>
      <w:r w:rsidRPr="00F36DBC">
        <w:rPr>
          <w:sz w:val="20"/>
          <w:szCs w:val="20"/>
        </w:rPr>
        <w:t xml:space="preserve"> 2005, TPAO and its international partners drilled the country’s first exploration wells in the Black Sea. The TPAO-</w:t>
      </w:r>
      <w:proofErr w:type="spellStart"/>
      <w:r w:rsidRPr="00F36DBC">
        <w:rPr>
          <w:sz w:val="20"/>
          <w:szCs w:val="20"/>
        </w:rPr>
        <w:t>Torreador</w:t>
      </w:r>
      <w:proofErr w:type="spellEnd"/>
      <w:r w:rsidRPr="00F36DBC">
        <w:rPr>
          <w:sz w:val="20"/>
          <w:szCs w:val="20"/>
        </w:rPr>
        <w:t>-</w:t>
      </w:r>
      <w:proofErr w:type="spellStart"/>
      <w:r w:rsidRPr="00F36DBC">
        <w:rPr>
          <w:sz w:val="20"/>
          <w:szCs w:val="20"/>
        </w:rPr>
        <w:t>Stratic</w:t>
      </w:r>
      <w:proofErr w:type="spellEnd"/>
      <w:r w:rsidRPr="00F36DBC">
        <w:rPr>
          <w:sz w:val="20"/>
          <w:szCs w:val="20"/>
        </w:rPr>
        <w:t xml:space="preserve"> joint venture oversees the Western Black Sea Exploration and Development Project, while the TPAO-BP-Chevron joint venture runs the Eastern Black Sea Offshore Project.</w:t>
      </w:r>
      <w:r w:rsidR="00BB1059">
        <w:rPr>
          <w:sz w:val="20"/>
          <w:szCs w:val="20"/>
        </w:rPr>
        <w:t xml:space="preserve"> Similarly a joint </w:t>
      </w:r>
      <w:r w:rsidR="00B07679">
        <w:rPr>
          <w:sz w:val="20"/>
          <w:szCs w:val="20"/>
        </w:rPr>
        <w:t xml:space="preserve">operating agreement was signed by </w:t>
      </w:r>
      <w:proofErr w:type="spellStart"/>
      <w:r w:rsidR="00B07679">
        <w:rPr>
          <w:sz w:val="20"/>
          <w:szCs w:val="20"/>
        </w:rPr>
        <w:t>PetroBras</w:t>
      </w:r>
      <w:proofErr w:type="spellEnd"/>
      <w:r w:rsidR="00B07679">
        <w:rPr>
          <w:sz w:val="20"/>
          <w:szCs w:val="20"/>
        </w:rPr>
        <w:t xml:space="preserve"> and TPAO on August 17, 2006 for exploration in Black Sea.</w:t>
      </w:r>
    </w:p>
    <w:p w:rsidR="00E053C0" w:rsidRDefault="00E053C0" w:rsidP="00E053C0">
      <w:pPr>
        <w:spacing w:after="0"/>
        <w:rPr>
          <w:sz w:val="20"/>
          <w:szCs w:val="20"/>
        </w:rPr>
      </w:pPr>
    </w:p>
    <w:p w:rsidR="00CB48D1" w:rsidRPr="007E65D5" w:rsidRDefault="00CB48D1" w:rsidP="007E65D5">
      <w:pPr>
        <w:rPr>
          <w:sz w:val="20"/>
          <w:szCs w:val="20"/>
        </w:rPr>
      </w:pPr>
      <w:r w:rsidRPr="00CB48D1">
        <w:rPr>
          <w:sz w:val="20"/>
          <w:szCs w:val="20"/>
        </w:rPr>
        <w:t xml:space="preserve">45 companies, </w:t>
      </w:r>
      <w:r>
        <w:rPr>
          <w:sz w:val="20"/>
          <w:szCs w:val="20"/>
        </w:rPr>
        <w:t>(</w:t>
      </w:r>
      <w:r w:rsidRPr="00CB48D1">
        <w:rPr>
          <w:sz w:val="20"/>
          <w:szCs w:val="20"/>
        </w:rPr>
        <w:t>25</w:t>
      </w:r>
      <w:r>
        <w:rPr>
          <w:sz w:val="20"/>
          <w:szCs w:val="20"/>
        </w:rPr>
        <w:t xml:space="preserve"> of them</w:t>
      </w:r>
      <w:r w:rsidRPr="00CB48D1">
        <w:rPr>
          <w:sz w:val="20"/>
          <w:szCs w:val="20"/>
        </w:rPr>
        <w:t xml:space="preserve"> foreign and 20</w:t>
      </w:r>
      <w:r>
        <w:rPr>
          <w:sz w:val="20"/>
          <w:szCs w:val="20"/>
        </w:rPr>
        <w:t xml:space="preserve"> local), </w:t>
      </w:r>
      <w:r w:rsidRPr="00CB48D1">
        <w:rPr>
          <w:sz w:val="20"/>
          <w:szCs w:val="20"/>
        </w:rPr>
        <w:t>carried out exploration activi</w:t>
      </w:r>
      <w:r>
        <w:rPr>
          <w:sz w:val="20"/>
          <w:szCs w:val="20"/>
        </w:rPr>
        <w:t>ties in Turkey in 2007</w:t>
      </w:r>
      <w:r w:rsidRPr="00CB48D1">
        <w:rPr>
          <w:sz w:val="20"/>
          <w:szCs w:val="20"/>
        </w:rPr>
        <w:t>.</w:t>
      </w:r>
      <w:r>
        <w:rPr>
          <w:sz w:val="20"/>
          <w:szCs w:val="20"/>
        </w:rPr>
        <w:t xml:space="preserve"> </w:t>
      </w:r>
      <w:r w:rsidRPr="00CB48D1">
        <w:rPr>
          <w:sz w:val="20"/>
          <w:szCs w:val="20"/>
        </w:rPr>
        <w:t xml:space="preserve">During the same year, 62 exploration licenses covering </w:t>
      </w:r>
      <w:smartTag w:uri="urn:schemas-microsoft-com:office:smarttags" w:element="metricconverter">
        <w:smartTagPr>
          <w:attr w:name="ProductID" w:val="5.920.460 hectares"/>
        </w:smartTagPr>
        <w:r w:rsidRPr="00CB48D1">
          <w:rPr>
            <w:sz w:val="20"/>
            <w:szCs w:val="20"/>
          </w:rPr>
          <w:t>5.920.460 hectares</w:t>
        </w:r>
      </w:smartTag>
      <w:r>
        <w:rPr>
          <w:sz w:val="20"/>
          <w:szCs w:val="20"/>
        </w:rPr>
        <w:t xml:space="preserve"> were </w:t>
      </w:r>
      <w:r w:rsidRPr="00CB48D1">
        <w:rPr>
          <w:sz w:val="20"/>
          <w:szCs w:val="20"/>
        </w:rPr>
        <w:t>granted to 16 companies of 45 companies, conducting exploration activities. As of the end of 2007, 37</w:t>
      </w:r>
      <w:r>
        <w:rPr>
          <w:sz w:val="20"/>
          <w:szCs w:val="20"/>
        </w:rPr>
        <w:t xml:space="preserve"> companies had</w:t>
      </w:r>
      <w:r w:rsidRPr="00CB48D1">
        <w:rPr>
          <w:sz w:val="20"/>
          <w:szCs w:val="20"/>
        </w:rPr>
        <w:t xml:space="preserve"> 391 exploration licenses covering </w:t>
      </w:r>
      <w:smartTag w:uri="urn:schemas-microsoft-com:office:smarttags" w:element="metricconverter">
        <w:smartTagPr>
          <w:attr w:name="ProductID" w:val="36.578.078 hectares"/>
        </w:smartTagPr>
        <w:r w:rsidRPr="00CB48D1">
          <w:rPr>
            <w:sz w:val="20"/>
            <w:szCs w:val="20"/>
          </w:rPr>
          <w:t>36.578.078 hectares</w:t>
        </w:r>
      </w:smartTag>
      <w:r w:rsidRPr="00CB48D1">
        <w:rPr>
          <w:sz w:val="20"/>
          <w:szCs w:val="20"/>
        </w:rPr>
        <w:t>. Compa</w:t>
      </w:r>
      <w:r>
        <w:rPr>
          <w:sz w:val="20"/>
          <w:szCs w:val="20"/>
        </w:rPr>
        <w:t xml:space="preserve">red to the previous year it has been </w:t>
      </w:r>
      <w:r w:rsidRPr="00CB48D1">
        <w:rPr>
          <w:sz w:val="20"/>
          <w:szCs w:val="20"/>
        </w:rPr>
        <w:t>observed that number of exploration licenses increased by 4</w:t>
      </w:r>
      <w:proofErr w:type="gramStart"/>
      <w:r w:rsidRPr="00CB48D1">
        <w:rPr>
          <w:sz w:val="20"/>
          <w:szCs w:val="20"/>
        </w:rPr>
        <w:t>,5</w:t>
      </w:r>
      <w:proofErr w:type="gramEnd"/>
      <w:r w:rsidRPr="00CB48D1">
        <w:rPr>
          <w:sz w:val="20"/>
          <w:szCs w:val="20"/>
        </w:rPr>
        <w:t xml:space="preserve"> %. T</w:t>
      </w:r>
      <w:r>
        <w:rPr>
          <w:sz w:val="20"/>
          <w:szCs w:val="20"/>
        </w:rPr>
        <w:t>PAO</w:t>
      </w:r>
      <w:r w:rsidRPr="00CB48D1">
        <w:rPr>
          <w:sz w:val="20"/>
          <w:szCs w:val="20"/>
        </w:rPr>
        <w:t xml:space="preserve"> owns 152 exploration licenses (39 %), covering </w:t>
      </w:r>
      <w:smartTag w:uri="urn:schemas-microsoft-com:office:smarttags" w:element="metricconverter">
        <w:smartTagPr>
          <w:attr w:name="ProductID" w:val="25.763.266 hectares"/>
        </w:smartTagPr>
        <w:r w:rsidRPr="00CB48D1">
          <w:rPr>
            <w:sz w:val="20"/>
            <w:szCs w:val="20"/>
          </w:rPr>
          <w:t>25.763.266 hectares</w:t>
        </w:r>
      </w:smartTag>
      <w:r w:rsidRPr="00CB48D1">
        <w:rPr>
          <w:sz w:val="20"/>
          <w:szCs w:val="20"/>
        </w:rPr>
        <w:t xml:space="preserve"> equivalent to 70</w:t>
      </w:r>
      <w:r>
        <w:rPr>
          <w:sz w:val="20"/>
          <w:szCs w:val="20"/>
        </w:rPr>
        <w:t>% of total acreage.</w:t>
      </w:r>
      <w:r w:rsidRPr="00CB48D1">
        <w:rPr>
          <w:sz w:val="20"/>
          <w:szCs w:val="20"/>
        </w:rPr>
        <w:t xml:space="preserve"> </w:t>
      </w:r>
      <w:r w:rsidR="007E65D5">
        <w:rPr>
          <w:sz w:val="20"/>
          <w:szCs w:val="20"/>
        </w:rPr>
        <w:t>116 wells,</w:t>
      </w:r>
      <w:r w:rsidR="007E65D5" w:rsidRPr="007E65D5">
        <w:rPr>
          <w:sz w:val="20"/>
          <w:szCs w:val="20"/>
        </w:rPr>
        <w:t xml:space="preserve"> 100 new and 16 from the previous year</w:t>
      </w:r>
      <w:r w:rsidR="007E65D5">
        <w:rPr>
          <w:sz w:val="20"/>
          <w:szCs w:val="20"/>
        </w:rPr>
        <w:t>,</w:t>
      </w:r>
      <w:r w:rsidR="007E65D5" w:rsidRPr="007E65D5">
        <w:rPr>
          <w:sz w:val="20"/>
          <w:szCs w:val="20"/>
        </w:rPr>
        <w:t xml:space="preserve"> </w:t>
      </w:r>
      <w:r w:rsidR="007E65D5">
        <w:rPr>
          <w:sz w:val="20"/>
          <w:szCs w:val="20"/>
        </w:rPr>
        <w:t>were</w:t>
      </w:r>
      <w:r w:rsidR="007E65D5" w:rsidRPr="007E65D5">
        <w:rPr>
          <w:sz w:val="20"/>
          <w:szCs w:val="20"/>
        </w:rPr>
        <w:t xml:space="preserve"> drilled </w:t>
      </w:r>
      <w:r w:rsidR="007E65D5">
        <w:rPr>
          <w:sz w:val="20"/>
          <w:szCs w:val="20"/>
        </w:rPr>
        <w:t xml:space="preserve">in 200, amounting </w:t>
      </w:r>
      <w:r w:rsidR="007E65D5" w:rsidRPr="007E65D5">
        <w:rPr>
          <w:sz w:val="20"/>
          <w:szCs w:val="20"/>
        </w:rPr>
        <w:t>149.887 meters</w:t>
      </w:r>
      <w:r w:rsidR="007E65D5">
        <w:rPr>
          <w:sz w:val="20"/>
          <w:szCs w:val="20"/>
        </w:rPr>
        <w:t xml:space="preserve"> drilling</w:t>
      </w:r>
      <w:r w:rsidR="007E65D5" w:rsidRPr="007E65D5">
        <w:rPr>
          <w:sz w:val="20"/>
          <w:szCs w:val="20"/>
        </w:rPr>
        <w:t xml:space="preserve">. TPAO drilled </w:t>
      </w:r>
      <w:smartTag w:uri="urn:schemas-microsoft-com:office:smarttags" w:element="metricconverter">
        <w:smartTagPr>
          <w:attr w:name="ProductID" w:val="68.829 meters"/>
        </w:smartTagPr>
        <w:r w:rsidR="007E65D5" w:rsidRPr="007E65D5">
          <w:rPr>
            <w:sz w:val="20"/>
            <w:szCs w:val="20"/>
          </w:rPr>
          <w:t>68.829 meters</w:t>
        </w:r>
      </w:smartTag>
      <w:r w:rsidR="007E65D5" w:rsidRPr="007E65D5">
        <w:rPr>
          <w:sz w:val="20"/>
          <w:szCs w:val="20"/>
        </w:rPr>
        <w:t xml:space="preserve"> in 36 wells which make up of 36 % of the total number of wells and 46 % of the total footage.</w:t>
      </w:r>
      <w:r w:rsidR="007E65D5">
        <w:rPr>
          <w:sz w:val="20"/>
          <w:szCs w:val="20"/>
        </w:rPr>
        <w:t xml:space="preserve"> </w:t>
      </w:r>
      <w:proofErr w:type="spellStart"/>
      <w:r w:rsidR="007E65D5" w:rsidRPr="007E65D5">
        <w:rPr>
          <w:sz w:val="20"/>
          <w:szCs w:val="20"/>
        </w:rPr>
        <w:t>Batı</w:t>
      </w:r>
      <w:proofErr w:type="spellEnd"/>
      <w:r w:rsidR="007E65D5" w:rsidRPr="007E65D5">
        <w:rPr>
          <w:sz w:val="20"/>
          <w:szCs w:val="20"/>
        </w:rPr>
        <w:t xml:space="preserve"> </w:t>
      </w:r>
      <w:proofErr w:type="spellStart"/>
      <w:r w:rsidR="007E65D5" w:rsidRPr="007E65D5">
        <w:rPr>
          <w:sz w:val="20"/>
          <w:szCs w:val="20"/>
        </w:rPr>
        <w:t>Gökçe</w:t>
      </w:r>
      <w:proofErr w:type="spellEnd"/>
      <w:r w:rsidR="007E65D5">
        <w:rPr>
          <w:sz w:val="20"/>
          <w:szCs w:val="20"/>
        </w:rPr>
        <w:t xml:space="preserve"> crude oil field in </w:t>
      </w:r>
      <w:r w:rsidR="007E65D5" w:rsidRPr="007E65D5">
        <w:rPr>
          <w:sz w:val="20"/>
          <w:szCs w:val="20"/>
        </w:rPr>
        <w:t>Gaziantep was discovered by T</w:t>
      </w:r>
      <w:r w:rsidR="007E65D5">
        <w:rPr>
          <w:sz w:val="20"/>
          <w:szCs w:val="20"/>
        </w:rPr>
        <w:t xml:space="preserve">PAO </w:t>
      </w:r>
      <w:r w:rsidR="007E65D5" w:rsidRPr="007E65D5">
        <w:rPr>
          <w:sz w:val="20"/>
          <w:szCs w:val="20"/>
        </w:rPr>
        <w:t>in 2007.</w:t>
      </w:r>
      <w:r w:rsidR="007E65D5">
        <w:rPr>
          <w:sz w:val="20"/>
          <w:szCs w:val="20"/>
        </w:rPr>
        <w:t xml:space="preserve"> </w:t>
      </w:r>
      <w:r w:rsidR="007E65D5" w:rsidRPr="007E65D5">
        <w:rPr>
          <w:sz w:val="20"/>
          <w:szCs w:val="20"/>
        </w:rPr>
        <w:t>105 oil fields</w:t>
      </w:r>
      <w:r w:rsidR="00F15FA5">
        <w:rPr>
          <w:sz w:val="20"/>
          <w:szCs w:val="20"/>
        </w:rPr>
        <w:t xml:space="preserve"> </w:t>
      </w:r>
      <w:r w:rsidR="007E65D5">
        <w:rPr>
          <w:sz w:val="20"/>
          <w:szCs w:val="20"/>
        </w:rPr>
        <w:t>by the end of</w:t>
      </w:r>
      <w:r w:rsidR="007E65D5" w:rsidRPr="007E65D5">
        <w:rPr>
          <w:sz w:val="20"/>
          <w:szCs w:val="20"/>
        </w:rPr>
        <w:t xml:space="preserve"> 2007.</w:t>
      </w:r>
    </w:p>
    <w:tbl>
      <w:tblPr>
        <w:tblStyle w:val="LightGrid-Accent11"/>
        <w:tblW w:w="9179" w:type="dxa"/>
        <w:jc w:val="center"/>
        <w:tblInd w:w="-1999" w:type="dxa"/>
        <w:tblLook w:val="04A0"/>
      </w:tblPr>
      <w:tblGrid>
        <w:gridCol w:w="4459"/>
        <w:gridCol w:w="840"/>
        <w:gridCol w:w="1460"/>
        <w:gridCol w:w="840"/>
        <w:gridCol w:w="1580"/>
      </w:tblGrid>
      <w:tr w:rsidR="007E65D5" w:rsidRPr="00F15FA5" w:rsidTr="00F15FA5">
        <w:trPr>
          <w:cnfStyle w:val="100000000000"/>
          <w:trHeight w:val="179"/>
          <w:jc w:val="center"/>
        </w:trPr>
        <w:tc>
          <w:tcPr>
            <w:cnfStyle w:val="001000000000"/>
            <w:tcW w:w="4459" w:type="dxa"/>
            <w:vMerge w:val="restart"/>
            <w:hideMark/>
          </w:tcPr>
          <w:p w:rsidR="00F15FA5" w:rsidRDefault="00F15FA5" w:rsidP="007E65D5">
            <w:pPr>
              <w:spacing w:after="0" w:line="240" w:lineRule="auto"/>
              <w:jc w:val="center"/>
              <w:rPr>
                <w:rFonts w:asciiTheme="minorHAnsi" w:hAnsiTheme="minorHAnsi"/>
                <w:bCs w:val="0"/>
                <w:sz w:val="16"/>
                <w:szCs w:val="16"/>
                <w:lang w:val="tr-TR" w:eastAsia="tr-TR"/>
              </w:rPr>
            </w:pPr>
          </w:p>
          <w:p w:rsidR="007E65D5" w:rsidRPr="00F15FA5" w:rsidRDefault="007E65D5" w:rsidP="007E65D5">
            <w:pPr>
              <w:spacing w:after="0" w:line="240" w:lineRule="auto"/>
              <w:jc w:val="center"/>
              <w:rPr>
                <w:rFonts w:asciiTheme="minorHAnsi" w:hAnsiTheme="minorHAnsi"/>
                <w:bCs w:val="0"/>
                <w:sz w:val="16"/>
                <w:szCs w:val="16"/>
                <w:lang w:val="tr-TR" w:eastAsia="tr-TR"/>
              </w:rPr>
            </w:pPr>
            <w:r w:rsidRPr="00F15FA5">
              <w:rPr>
                <w:rFonts w:asciiTheme="minorHAnsi" w:hAnsiTheme="minorHAnsi"/>
                <w:bCs w:val="0"/>
                <w:sz w:val="16"/>
                <w:szCs w:val="16"/>
                <w:lang w:val="tr-TR" w:eastAsia="tr-TR"/>
              </w:rPr>
              <w:t>Companies</w:t>
            </w:r>
          </w:p>
        </w:tc>
        <w:tc>
          <w:tcPr>
            <w:tcW w:w="4720" w:type="dxa"/>
            <w:gridSpan w:val="4"/>
            <w:noWrap/>
            <w:hideMark/>
          </w:tcPr>
          <w:p w:rsidR="007E65D5" w:rsidRPr="00F15FA5" w:rsidRDefault="007E65D5" w:rsidP="007E65D5">
            <w:pPr>
              <w:spacing w:after="0" w:line="240" w:lineRule="auto"/>
              <w:jc w:val="center"/>
              <w:cnfStyle w:val="100000000000"/>
              <w:rPr>
                <w:rFonts w:asciiTheme="minorHAnsi" w:hAnsiTheme="minorHAnsi"/>
                <w:bCs w:val="0"/>
                <w:sz w:val="16"/>
                <w:szCs w:val="16"/>
                <w:lang w:val="tr-TR" w:eastAsia="tr-TR"/>
              </w:rPr>
            </w:pPr>
            <w:r w:rsidRPr="00F15FA5">
              <w:rPr>
                <w:rFonts w:asciiTheme="minorHAnsi" w:hAnsiTheme="minorHAnsi"/>
                <w:b w:val="0"/>
                <w:bCs w:val="0"/>
                <w:sz w:val="16"/>
                <w:szCs w:val="16"/>
                <w:lang w:val="tr-TR" w:eastAsia="tr-TR"/>
              </w:rPr>
              <w:t xml:space="preserve"> </w:t>
            </w:r>
            <w:r w:rsidRPr="00F15FA5">
              <w:rPr>
                <w:rFonts w:asciiTheme="minorHAnsi" w:hAnsiTheme="minorHAnsi"/>
                <w:bCs w:val="0"/>
                <w:sz w:val="16"/>
                <w:szCs w:val="16"/>
                <w:lang w:val="tr-TR" w:eastAsia="tr-TR"/>
              </w:rPr>
              <w:t>Exploration , extension and geological test wells</w:t>
            </w:r>
          </w:p>
        </w:tc>
      </w:tr>
      <w:tr w:rsidR="007E65D5" w:rsidRPr="00F15FA5" w:rsidTr="00F15FA5">
        <w:trPr>
          <w:cnfStyle w:val="000000100000"/>
          <w:trHeight w:val="152"/>
          <w:jc w:val="center"/>
        </w:trPr>
        <w:tc>
          <w:tcPr>
            <w:cnfStyle w:val="001000000000"/>
            <w:tcW w:w="4459" w:type="dxa"/>
            <w:vMerge/>
            <w:hideMark/>
          </w:tcPr>
          <w:p w:rsidR="007E65D5" w:rsidRPr="00F15FA5" w:rsidRDefault="007E65D5" w:rsidP="007E65D5">
            <w:pPr>
              <w:spacing w:after="0" w:line="240" w:lineRule="auto"/>
              <w:rPr>
                <w:rFonts w:asciiTheme="minorHAnsi" w:hAnsiTheme="minorHAnsi"/>
                <w:b w:val="0"/>
                <w:bCs w:val="0"/>
                <w:sz w:val="16"/>
                <w:szCs w:val="16"/>
                <w:lang w:val="tr-TR" w:eastAsia="tr-TR"/>
              </w:rPr>
            </w:pPr>
          </w:p>
        </w:tc>
        <w:tc>
          <w:tcPr>
            <w:tcW w:w="2300" w:type="dxa"/>
            <w:gridSpan w:val="2"/>
            <w:hideMark/>
          </w:tcPr>
          <w:p w:rsidR="007E65D5" w:rsidRPr="00F15FA5" w:rsidRDefault="007E65D5" w:rsidP="007E65D5">
            <w:pPr>
              <w:spacing w:after="0" w:line="240" w:lineRule="auto"/>
              <w:jc w:val="center"/>
              <w:cnfStyle w:val="00000010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Drilled in 2007</w:t>
            </w:r>
          </w:p>
        </w:tc>
        <w:tc>
          <w:tcPr>
            <w:tcW w:w="2420" w:type="dxa"/>
            <w:gridSpan w:val="2"/>
            <w:hideMark/>
          </w:tcPr>
          <w:p w:rsidR="007E65D5" w:rsidRPr="00F15FA5" w:rsidRDefault="007E65D5" w:rsidP="007E65D5">
            <w:pPr>
              <w:spacing w:after="0" w:line="240" w:lineRule="auto"/>
              <w:jc w:val="center"/>
              <w:cnfStyle w:val="00000010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Total by the end of 2007</w:t>
            </w:r>
          </w:p>
        </w:tc>
      </w:tr>
      <w:tr w:rsidR="007E65D5" w:rsidRPr="00F15FA5" w:rsidTr="00F15FA5">
        <w:trPr>
          <w:cnfStyle w:val="000000010000"/>
          <w:trHeight w:val="125"/>
          <w:jc w:val="center"/>
        </w:trPr>
        <w:tc>
          <w:tcPr>
            <w:cnfStyle w:val="001000000000"/>
            <w:tcW w:w="4459" w:type="dxa"/>
            <w:vMerge/>
            <w:hideMark/>
          </w:tcPr>
          <w:p w:rsidR="007E65D5" w:rsidRPr="00F15FA5" w:rsidRDefault="007E65D5" w:rsidP="007E65D5">
            <w:pPr>
              <w:spacing w:after="0" w:line="240" w:lineRule="auto"/>
              <w:rPr>
                <w:rFonts w:asciiTheme="minorHAnsi" w:hAnsiTheme="minorHAnsi"/>
                <w:b w:val="0"/>
                <w:bCs w:val="0"/>
                <w:sz w:val="16"/>
                <w:szCs w:val="16"/>
                <w:lang w:val="tr-TR" w:eastAsia="tr-TR"/>
              </w:rPr>
            </w:pPr>
          </w:p>
        </w:tc>
        <w:tc>
          <w:tcPr>
            <w:tcW w:w="840" w:type="dxa"/>
            <w:hideMark/>
          </w:tcPr>
          <w:p w:rsidR="007E65D5" w:rsidRPr="00F15FA5" w:rsidRDefault="007E65D5" w:rsidP="007E65D5">
            <w:pPr>
              <w:spacing w:after="0" w:line="240" w:lineRule="auto"/>
              <w:jc w:val="center"/>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Number</w:t>
            </w:r>
          </w:p>
        </w:tc>
        <w:tc>
          <w:tcPr>
            <w:tcW w:w="1460" w:type="dxa"/>
            <w:hideMark/>
          </w:tcPr>
          <w:p w:rsidR="007E65D5" w:rsidRPr="00F15FA5" w:rsidRDefault="007E65D5" w:rsidP="007E65D5">
            <w:pPr>
              <w:spacing w:after="0" w:line="240" w:lineRule="auto"/>
              <w:jc w:val="center"/>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 xml:space="preserve"> Footage (m.)</w:t>
            </w:r>
          </w:p>
        </w:tc>
        <w:tc>
          <w:tcPr>
            <w:tcW w:w="840" w:type="dxa"/>
            <w:hideMark/>
          </w:tcPr>
          <w:p w:rsidR="007E65D5" w:rsidRPr="00F15FA5" w:rsidRDefault="007E65D5" w:rsidP="007E65D5">
            <w:pPr>
              <w:spacing w:after="0" w:line="240" w:lineRule="auto"/>
              <w:jc w:val="center"/>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Number</w:t>
            </w:r>
          </w:p>
        </w:tc>
        <w:tc>
          <w:tcPr>
            <w:tcW w:w="1580" w:type="dxa"/>
            <w:hideMark/>
          </w:tcPr>
          <w:p w:rsidR="007E65D5" w:rsidRPr="00F15FA5" w:rsidRDefault="007E65D5" w:rsidP="007E65D5">
            <w:pPr>
              <w:spacing w:after="0" w:line="240" w:lineRule="auto"/>
              <w:jc w:val="center"/>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Footage (m.)</w:t>
            </w:r>
          </w:p>
        </w:tc>
      </w:tr>
      <w:tr w:rsidR="007E65D5" w:rsidRPr="00F15FA5" w:rsidTr="00F15FA5">
        <w:trPr>
          <w:cnfStyle w:val="000000100000"/>
          <w:trHeight w:val="188"/>
          <w:jc w:val="center"/>
        </w:trPr>
        <w:tc>
          <w:tcPr>
            <w:cnfStyle w:val="001000000000"/>
            <w:tcW w:w="4459" w:type="dxa"/>
            <w:noWrap/>
            <w:hideMark/>
          </w:tcPr>
          <w:p w:rsidR="007E65D5" w:rsidRPr="00F15FA5" w:rsidRDefault="007E65D5" w:rsidP="00F15FA5">
            <w:pPr>
              <w:spacing w:after="0" w:line="240" w:lineRule="auto"/>
              <w:ind w:firstLineChars="100" w:firstLine="161"/>
              <w:rPr>
                <w:rFonts w:asciiTheme="minorHAnsi" w:hAnsiTheme="minorHAnsi"/>
                <w:sz w:val="16"/>
                <w:szCs w:val="16"/>
                <w:lang w:val="tr-TR" w:eastAsia="tr-TR"/>
              </w:rPr>
            </w:pPr>
            <w:r w:rsidRPr="00F15FA5">
              <w:rPr>
                <w:rFonts w:asciiTheme="minorHAnsi" w:hAnsiTheme="minorHAnsi"/>
                <w:sz w:val="16"/>
                <w:szCs w:val="16"/>
                <w:lang w:val="tr-TR" w:eastAsia="tr-TR"/>
              </w:rPr>
              <w:t>T.P.A.O.</w:t>
            </w:r>
          </w:p>
        </w:tc>
        <w:tc>
          <w:tcPr>
            <w:tcW w:w="840" w:type="dxa"/>
            <w:noWrap/>
            <w:hideMark/>
          </w:tcPr>
          <w:p w:rsidR="007E65D5" w:rsidRPr="00F15FA5" w:rsidRDefault="007E65D5" w:rsidP="007E65D5">
            <w:pPr>
              <w:spacing w:after="0" w:line="240" w:lineRule="auto"/>
              <w:jc w:val="center"/>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36</w:t>
            </w:r>
          </w:p>
        </w:tc>
        <w:tc>
          <w:tcPr>
            <w:tcW w:w="146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68 828.50   </w:t>
            </w:r>
          </w:p>
        </w:tc>
        <w:tc>
          <w:tcPr>
            <w:tcW w:w="84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1 149   </w:t>
            </w:r>
          </w:p>
        </w:tc>
        <w:tc>
          <w:tcPr>
            <w:tcW w:w="158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2 651 489.98   </w:t>
            </w:r>
          </w:p>
        </w:tc>
      </w:tr>
      <w:tr w:rsidR="007E65D5" w:rsidRPr="00F15FA5" w:rsidTr="00F15FA5">
        <w:trPr>
          <w:cnfStyle w:val="000000010000"/>
          <w:trHeight w:val="170"/>
          <w:jc w:val="center"/>
        </w:trPr>
        <w:tc>
          <w:tcPr>
            <w:cnfStyle w:val="001000000000"/>
            <w:tcW w:w="4459" w:type="dxa"/>
            <w:noWrap/>
            <w:hideMark/>
          </w:tcPr>
          <w:p w:rsidR="007E65D5" w:rsidRPr="00F15FA5" w:rsidRDefault="00F15FA5" w:rsidP="00F15FA5">
            <w:pPr>
              <w:spacing w:after="0" w:line="240" w:lineRule="auto"/>
              <w:ind w:firstLineChars="100" w:firstLine="161"/>
              <w:rPr>
                <w:rFonts w:asciiTheme="minorHAnsi" w:hAnsiTheme="minorHAnsi"/>
                <w:sz w:val="16"/>
                <w:szCs w:val="16"/>
                <w:lang w:val="tr-TR" w:eastAsia="tr-TR"/>
              </w:rPr>
            </w:pPr>
            <w:r w:rsidRPr="00F15FA5">
              <w:rPr>
                <w:rStyle w:val="csssubheading1"/>
                <w:rFonts w:asciiTheme="minorHAnsi" w:hAnsiTheme="minorHAnsi"/>
                <w:sz w:val="16"/>
                <w:szCs w:val="16"/>
              </w:rPr>
              <w:t>General Directorate of Mineral Research and Exploration</w:t>
            </w:r>
          </w:p>
        </w:tc>
        <w:tc>
          <w:tcPr>
            <w:tcW w:w="840" w:type="dxa"/>
            <w:noWrap/>
            <w:hideMark/>
          </w:tcPr>
          <w:p w:rsidR="007E65D5" w:rsidRPr="00F15FA5" w:rsidRDefault="007E65D5" w:rsidP="007E65D5">
            <w:pPr>
              <w:spacing w:after="0" w:line="240" w:lineRule="auto"/>
              <w:jc w:val="center"/>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w:t>
            </w:r>
          </w:p>
        </w:tc>
        <w:tc>
          <w:tcPr>
            <w:tcW w:w="1460" w:type="dxa"/>
            <w:noWrap/>
            <w:hideMark/>
          </w:tcPr>
          <w:p w:rsidR="007E65D5" w:rsidRPr="00F15FA5" w:rsidRDefault="007E65D5" w:rsidP="007E65D5">
            <w:pPr>
              <w:spacing w:after="0" w:line="240" w:lineRule="auto"/>
              <w:jc w:val="right"/>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w:t>
            </w:r>
          </w:p>
        </w:tc>
        <w:tc>
          <w:tcPr>
            <w:tcW w:w="840" w:type="dxa"/>
            <w:noWrap/>
            <w:hideMark/>
          </w:tcPr>
          <w:p w:rsidR="007E65D5" w:rsidRPr="00F15FA5" w:rsidRDefault="007E65D5" w:rsidP="007E65D5">
            <w:pPr>
              <w:spacing w:after="0" w:line="240" w:lineRule="auto"/>
              <w:jc w:val="right"/>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89   </w:t>
            </w:r>
          </w:p>
        </w:tc>
        <w:tc>
          <w:tcPr>
            <w:tcW w:w="1580" w:type="dxa"/>
            <w:noWrap/>
            <w:hideMark/>
          </w:tcPr>
          <w:p w:rsidR="007E65D5" w:rsidRPr="00F15FA5" w:rsidRDefault="007E65D5" w:rsidP="007E65D5">
            <w:pPr>
              <w:spacing w:after="0" w:line="240" w:lineRule="auto"/>
              <w:jc w:val="right"/>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111 305.00   </w:t>
            </w:r>
          </w:p>
        </w:tc>
      </w:tr>
      <w:tr w:rsidR="007E65D5" w:rsidRPr="00F15FA5" w:rsidTr="00F15FA5">
        <w:trPr>
          <w:cnfStyle w:val="000000100000"/>
          <w:trHeight w:val="65"/>
          <w:jc w:val="center"/>
        </w:trPr>
        <w:tc>
          <w:tcPr>
            <w:cnfStyle w:val="001000000000"/>
            <w:tcW w:w="4459" w:type="dxa"/>
            <w:hideMark/>
          </w:tcPr>
          <w:p w:rsidR="007E65D5" w:rsidRPr="00F15FA5" w:rsidRDefault="007E65D5" w:rsidP="00F15FA5">
            <w:pPr>
              <w:spacing w:after="0" w:line="240" w:lineRule="auto"/>
              <w:ind w:firstLineChars="100" w:firstLine="161"/>
              <w:rPr>
                <w:rFonts w:asciiTheme="minorHAnsi" w:hAnsiTheme="minorHAnsi"/>
                <w:sz w:val="16"/>
                <w:szCs w:val="16"/>
                <w:lang w:val="tr-TR" w:eastAsia="tr-TR"/>
              </w:rPr>
            </w:pPr>
            <w:r w:rsidRPr="00F15FA5">
              <w:rPr>
                <w:rFonts w:asciiTheme="minorHAnsi" w:hAnsiTheme="minorHAnsi"/>
                <w:sz w:val="16"/>
                <w:szCs w:val="16"/>
                <w:lang w:val="tr-TR" w:eastAsia="tr-TR"/>
              </w:rPr>
              <w:t>Other local companies</w:t>
            </w:r>
          </w:p>
        </w:tc>
        <w:tc>
          <w:tcPr>
            <w:tcW w:w="840" w:type="dxa"/>
            <w:noWrap/>
            <w:hideMark/>
          </w:tcPr>
          <w:p w:rsidR="007E65D5" w:rsidRPr="00F15FA5" w:rsidRDefault="007E65D5" w:rsidP="007E65D5">
            <w:pPr>
              <w:spacing w:after="0" w:line="240" w:lineRule="auto"/>
              <w:jc w:val="center"/>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5</w:t>
            </w:r>
          </w:p>
        </w:tc>
        <w:tc>
          <w:tcPr>
            <w:tcW w:w="146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5 573.00   </w:t>
            </w:r>
          </w:p>
        </w:tc>
        <w:tc>
          <w:tcPr>
            <w:tcW w:w="84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36   </w:t>
            </w:r>
          </w:p>
        </w:tc>
        <w:tc>
          <w:tcPr>
            <w:tcW w:w="158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26 623.66   </w:t>
            </w:r>
          </w:p>
        </w:tc>
      </w:tr>
      <w:tr w:rsidR="007E65D5" w:rsidRPr="00F15FA5" w:rsidTr="00F15FA5">
        <w:trPr>
          <w:cnfStyle w:val="000000010000"/>
          <w:trHeight w:val="116"/>
          <w:jc w:val="center"/>
        </w:trPr>
        <w:tc>
          <w:tcPr>
            <w:cnfStyle w:val="001000000000"/>
            <w:tcW w:w="4459" w:type="dxa"/>
            <w:hideMark/>
          </w:tcPr>
          <w:p w:rsidR="007E65D5" w:rsidRPr="00F15FA5" w:rsidRDefault="007E65D5" w:rsidP="00F15FA5">
            <w:pPr>
              <w:spacing w:after="0" w:line="240" w:lineRule="auto"/>
              <w:ind w:firstLineChars="100" w:firstLine="161"/>
              <w:rPr>
                <w:rFonts w:asciiTheme="minorHAnsi" w:hAnsiTheme="minorHAnsi"/>
                <w:sz w:val="16"/>
                <w:szCs w:val="16"/>
                <w:lang w:val="tr-TR" w:eastAsia="tr-TR"/>
              </w:rPr>
            </w:pPr>
            <w:r w:rsidRPr="00F15FA5">
              <w:rPr>
                <w:rFonts w:asciiTheme="minorHAnsi" w:hAnsiTheme="minorHAnsi"/>
                <w:sz w:val="16"/>
                <w:szCs w:val="16"/>
                <w:lang w:val="tr-TR" w:eastAsia="tr-TR"/>
              </w:rPr>
              <w:t>Foreign companies</w:t>
            </w:r>
          </w:p>
        </w:tc>
        <w:tc>
          <w:tcPr>
            <w:tcW w:w="840" w:type="dxa"/>
            <w:noWrap/>
            <w:hideMark/>
          </w:tcPr>
          <w:p w:rsidR="007E65D5" w:rsidRPr="00F15FA5" w:rsidRDefault="007E65D5" w:rsidP="007E65D5">
            <w:pPr>
              <w:spacing w:after="0" w:line="240" w:lineRule="auto"/>
              <w:jc w:val="center"/>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48</w:t>
            </w:r>
          </w:p>
        </w:tc>
        <w:tc>
          <w:tcPr>
            <w:tcW w:w="1460" w:type="dxa"/>
            <w:noWrap/>
            <w:hideMark/>
          </w:tcPr>
          <w:p w:rsidR="007E65D5" w:rsidRPr="00F15FA5" w:rsidRDefault="007E65D5" w:rsidP="007E65D5">
            <w:pPr>
              <w:spacing w:after="0" w:line="240" w:lineRule="auto"/>
              <w:jc w:val="right"/>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46 231.00   </w:t>
            </w:r>
          </w:p>
        </w:tc>
        <w:tc>
          <w:tcPr>
            <w:tcW w:w="840" w:type="dxa"/>
            <w:noWrap/>
            <w:hideMark/>
          </w:tcPr>
          <w:p w:rsidR="007E65D5" w:rsidRPr="00F15FA5" w:rsidRDefault="007E65D5" w:rsidP="007E65D5">
            <w:pPr>
              <w:spacing w:after="0" w:line="240" w:lineRule="auto"/>
              <w:jc w:val="right"/>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563   </w:t>
            </w:r>
          </w:p>
        </w:tc>
        <w:tc>
          <w:tcPr>
            <w:tcW w:w="1580" w:type="dxa"/>
            <w:noWrap/>
            <w:hideMark/>
          </w:tcPr>
          <w:p w:rsidR="007E65D5" w:rsidRPr="00F15FA5" w:rsidRDefault="007E65D5" w:rsidP="007E65D5">
            <w:pPr>
              <w:spacing w:after="0" w:line="240" w:lineRule="auto"/>
              <w:jc w:val="right"/>
              <w:cnfStyle w:val="00000001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963 957.17   </w:t>
            </w:r>
          </w:p>
        </w:tc>
      </w:tr>
      <w:tr w:rsidR="007E65D5" w:rsidRPr="00F15FA5" w:rsidTr="00F15FA5">
        <w:trPr>
          <w:cnfStyle w:val="000000100000"/>
          <w:trHeight w:val="65"/>
          <w:jc w:val="center"/>
        </w:trPr>
        <w:tc>
          <w:tcPr>
            <w:cnfStyle w:val="001000000000"/>
            <w:tcW w:w="4459" w:type="dxa"/>
            <w:hideMark/>
          </w:tcPr>
          <w:p w:rsidR="007E65D5" w:rsidRPr="00F15FA5" w:rsidRDefault="007E65D5" w:rsidP="00F15FA5">
            <w:pPr>
              <w:spacing w:after="0" w:line="240" w:lineRule="auto"/>
              <w:ind w:firstLineChars="100" w:firstLine="161"/>
              <w:rPr>
                <w:rFonts w:asciiTheme="minorHAnsi" w:hAnsiTheme="minorHAnsi"/>
                <w:sz w:val="16"/>
                <w:szCs w:val="16"/>
                <w:lang w:val="tr-TR" w:eastAsia="tr-TR"/>
              </w:rPr>
            </w:pPr>
            <w:r w:rsidRPr="00F15FA5">
              <w:rPr>
                <w:rFonts w:asciiTheme="minorHAnsi" w:hAnsiTheme="minorHAnsi"/>
                <w:sz w:val="16"/>
                <w:szCs w:val="16"/>
                <w:lang w:val="tr-TR" w:eastAsia="tr-TR"/>
              </w:rPr>
              <w:t>Local+Foreign co.s joint ventures</w:t>
            </w:r>
          </w:p>
        </w:tc>
        <w:tc>
          <w:tcPr>
            <w:tcW w:w="840" w:type="dxa"/>
            <w:noWrap/>
            <w:hideMark/>
          </w:tcPr>
          <w:p w:rsidR="007E65D5" w:rsidRPr="00F15FA5" w:rsidRDefault="007E65D5" w:rsidP="007E65D5">
            <w:pPr>
              <w:spacing w:after="0" w:line="240" w:lineRule="auto"/>
              <w:jc w:val="center"/>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11</w:t>
            </w:r>
          </w:p>
        </w:tc>
        <w:tc>
          <w:tcPr>
            <w:tcW w:w="146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29 254.50   </w:t>
            </w:r>
          </w:p>
        </w:tc>
        <w:tc>
          <w:tcPr>
            <w:tcW w:w="84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167   </w:t>
            </w:r>
          </w:p>
        </w:tc>
        <w:tc>
          <w:tcPr>
            <w:tcW w:w="1580" w:type="dxa"/>
            <w:noWrap/>
            <w:hideMark/>
          </w:tcPr>
          <w:p w:rsidR="007E65D5" w:rsidRPr="00F15FA5" w:rsidRDefault="007E65D5" w:rsidP="007E65D5">
            <w:pPr>
              <w:spacing w:after="0" w:line="240" w:lineRule="auto"/>
              <w:jc w:val="right"/>
              <w:cnfStyle w:val="000000100000"/>
              <w:rPr>
                <w:rFonts w:asciiTheme="minorHAnsi" w:eastAsia="Times New Roman" w:hAnsiTheme="minorHAnsi"/>
                <w:sz w:val="16"/>
                <w:szCs w:val="16"/>
                <w:lang w:val="tr-TR" w:eastAsia="tr-TR"/>
              </w:rPr>
            </w:pPr>
            <w:r w:rsidRPr="00F15FA5">
              <w:rPr>
                <w:rFonts w:asciiTheme="minorHAnsi" w:eastAsia="Times New Roman" w:hAnsiTheme="minorHAnsi"/>
                <w:sz w:val="16"/>
                <w:szCs w:val="16"/>
                <w:lang w:val="tr-TR" w:eastAsia="tr-TR"/>
              </w:rPr>
              <w:t xml:space="preserve"> 371 934.90   </w:t>
            </w:r>
          </w:p>
        </w:tc>
      </w:tr>
      <w:tr w:rsidR="007E65D5" w:rsidRPr="00F15FA5" w:rsidTr="00F15FA5">
        <w:trPr>
          <w:cnfStyle w:val="000000010000"/>
          <w:trHeight w:val="65"/>
          <w:jc w:val="center"/>
        </w:trPr>
        <w:tc>
          <w:tcPr>
            <w:cnfStyle w:val="001000000000"/>
            <w:tcW w:w="4459" w:type="dxa"/>
            <w:noWrap/>
            <w:hideMark/>
          </w:tcPr>
          <w:p w:rsidR="007E65D5" w:rsidRPr="00F15FA5" w:rsidRDefault="007E65D5" w:rsidP="00F15FA5">
            <w:pPr>
              <w:spacing w:after="0" w:line="240" w:lineRule="auto"/>
              <w:ind w:firstLineChars="100" w:firstLine="161"/>
              <w:rPr>
                <w:rFonts w:asciiTheme="minorHAnsi" w:hAnsiTheme="minorHAnsi"/>
                <w:bCs w:val="0"/>
                <w:sz w:val="16"/>
                <w:szCs w:val="16"/>
                <w:lang w:val="tr-TR" w:eastAsia="tr-TR"/>
              </w:rPr>
            </w:pPr>
            <w:r w:rsidRPr="00F15FA5">
              <w:rPr>
                <w:rFonts w:asciiTheme="minorHAnsi" w:hAnsiTheme="minorHAnsi"/>
                <w:bCs w:val="0"/>
                <w:sz w:val="16"/>
                <w:szCs w:val="16"/>
                <w:lang w:val="tr-TR" w:eastAsia="tr-TR"/>
              </w:rPr>
              <w:t>Total</w:t>
            </w:r>
          </w:p>
        </w:tc>
        <w:tc>
          <w:tcPr>
            <w:tcW w:w="840" w:type="dxa"/>
            <w:noWrap/>
            <w:hideMark/>
          </w:tcPr>
          <w:p w:rsidR="007E65D5" w:rsidRPr="00F15FA5" w:rsidRDefault="007E65D5" w:rsidP="007E65D5">
            <w:pPr>
              <w:spacing w:after="0" w:line="240" w:lineRule="auto"/>
              <w:jc w:val="center"/>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100</w:t>
            </w:r>
          </w:p>
        </w:tc>
        <w:tc>
          <w:tcPr>
            <w:tcW w:w="1460" w:type="dxa"/>
            <w:noWrap/>
            <w:hideMark/>
          </w:tcPr>
          <w:p w:rsidR="007E65D5" w:rsidRPr="00F15FA5" w:rsidRDefault="007E65D5" w:rsidP="007E65D5">
            <w:pPr>
              <w:spacing w:after="0" w:line="240" w:lineRule="auto"/>
              <w:jc w:val="right"/>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 xml:space="preserve"> 149 887.00   </w:t>
            </w:r>
          </w:p>
        </w:tc>
        <w:tc>
          <w:tcPr>
            <w:tcW w:w="840" w:type="dxa"/>
            <w:noWrap/>
            <w:hideMark/>
          </w:tcPr>
          <w:p w:rsidR="007E65D5" w:rsidRPr="00F15FA5" w:rsidRDefault="007E65D5" w:rsidP="007E65D5">
            <w:pPr>
              <w:spacing w:after="0" w:line="240" w:lineRule="auto"/>
              <w:jc w:val="right"/>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 xml:space="preserve">2 004   </w:t>
            </w:r>
          </w:p>
        </w:tc>
        <w:tc>
          <w:tcPr>
            <w:tcW w:w="1580" w:type="dxa"/>
            <w:noWrap/>
            <w:hideMark/>
          </w:tcPr>
          <w:p w:rsidR="007E65D5" w:rsidRPr="00F15FA5" w:rsidRDefault="007E65D5" w:rsidP="007E65D5">
            <w:pPr>
              <w:spacing w:after="0" w:line="240" w:lineRule="auto"/>
              <w:jc w:val="right"/>
              <w:cnfStyle w:val="000000010000"/>
              <w:rPr>
                <w:rFonts w:asciiTheme="minorHAnsi" w:eastAsia="Times New Roman" w:hAnsiTheme="minorHAnsi"/>
                <w:b/>
                <w:bCs/>
                <w:sz w:val="16"/>
                <w:szCs w:val="16"/>
                <w:lang w:val="tr-TR" w:eastAsia="tr-TR"/>
              </w:rPr>
            </w:pPr>
            <w:r w:rsidRPr="00F15FA5">
              <w:rPr>
                <w:rFonts w:asciiTheme="minorHAnsi" w:eastAsia="Times New Roman" w:hAnsiTheme="minorHAnsi"/>
                <w:b/>
                <w:bCs/>
                <w:sz w:val="16"/>
                <w:szCs w:val="16"/>
                <w:lang w:val="tr-TR" w:eastAsia="tr-TR"/>
              </w:rPr>
              <w:t xml:space="preserve">4 125 310.71   </w:t>
            </w:r>
          </w:p>
        </w:tc>
      </w:tr>
    </w:tbl>
    <w:p w:rsidR="00730916" w:rsidRDefault="00F15FA5" w:rsidP="00F15FA5">
      <w:pPr>
        <w:autoSpaceDE w:val="0"/>
        <w:autoSpaceDN w:val="0"/>
        <w:adjustRightInd w:val="0"/>
        <w:spacing w:after="0"/>
        <w:rPr>
          <w:rStyle w:val="csssubheading1"/>
          <w:sz w:val="16"/>
          <w:szCs w:val="16"/>
        </w:rPr>
      </w:pPr>
      <w:r>
        <w:rPr>
          <w:rStyle w:val="csssubheading1"/>
          <w:b/>
          <w:i/>
          <w:sz w:val="16"/>
          <w:szCs w:val="16"/>
        </w:rPr>
        <w:t xml:space="preserve">      </w:t>
      </w:r>
      <w:r w:rsidR="00730916" w:rsidRPr="00730916">
        <w:rPr>
          <w:rStyle w:val="csssubheading1"/>
          <w:b/>
          <w:i/>
          <w:sz w:val="16"/>
          <w:szCs w:val="16"/>
        </w:rPr>
        <w:t>Source:</w:t>
      </w:r>
      <w:r w:rsidR="00730916">
        <w:rPr>
          <w:rStyle w:val="csssubheading1"/>
          <w:sz w:val="16"/>
          <w:szCs w:val="16"/>
        </w:rPr>
        <w:t xml:space="preserve">  General Directorate of Petroleum Affairs</w:t>
      </w:r>
    </w:p>
    <w:p w:rsidR="00730916" w:rsidRPr="00730916" w:rsidRDefault="00730916" w:rsidP="00E053C0">
      <w:pPr>
        <w:autoSpaceDE w:val="0"/>
        <w:autoSpaceDN w:val="0"/>
        <w:adjustRightInd w:val="0"/>
        <w:spacing w:after="0"/>
        <w:rPr>
          <w:rStyle w:val="csssubheading1"/>
          <w:sz w:val="16"/>
          <w:szCs w:val="16"/>
        </w:rPr>
      </w:pPr>
    </w:p>
    <w:p w:rsidR="00DC44B4" w:rsidRPr="00F36DBC" w:rsidRDefault="00DC44B4" w:rsidP="00E053C0">
      <w:pPr>
        <w:autoSpaceDE w:val="0"/>
        <w:autoSpaceDN w:val="0"/>
        <w:adjustRightInd w:val="0"/>
        <w:spacing w:after="0"/>
        <w:rPr>
          <w:rStyle w:val="csssubheading1"/>
          <w:b/>
          <w:sz w:val="20"/>
          <w:szCs w:val="20"/>
        </w:rPr>
      </w:pPr>
      <w:r w:rsidRPr="00F36DBC">
        <w:rPr>
          <w:rStyle w:val="csssubheading1"/>
          <w:b/>
          <w:sz w:val="20"/>
          <w:szCs w:val="20"/>
        </w:rPr>
        <w:t>Pipelines</w:t>
      </w:r>
    </w:p>
    <w:p w:rsidR="00DC44B4" w:rsidRPr="00F36DBC" w:rsidRDefault="00064CD5" w:rsidP="00E053C0">
      <w:pPr>
        <w:spacing w:after="0"/>
        <w:rPr>
          <w:sz w:val="20"/>
          <w:szCs w:val="20"/>
        </w:rPr>
      </w:pPr>
      <w:r w:rsidRPr="00F36DBC">
        <w:rPr>
          <w:sz w:val="20"/>
          <w:szCs w:val="20"/>
        </w:rPr>
        <w:t>T</w:t>
      </w:r>
      <w:r w:rsidR="00DC44B4" w:rsidRPr="00F36DBC">
        <w:rPr>
          <w:sz w:val="20"/>
          <w:szCs w:val="20"/>
        </w:rPr>
        <w:t xml:space="preserve">urkey, which lies between the energy-rich countries of the Caspian Sea and Persian Gulf regions and net energy importing countries in continental Europe, is increasingly important for oil transit. Turkey has established or considered a number of pipeline projects that would transport oil into Turkey without relying on the crowded Bosporus Straits. </w:t>
      </w:r>
    </w:p>
    <w:p w:rsidR="00DE0827" w:rsidRDefault="00DE0827" w:rsidP="00E053C0">
      <w:pPr>
        <w:spacing w:after="0"/>
      </w:pPr>
    </w:p>
    <w:tbl>
      <w:tblPr>
        <w:tblW w:w="9567" w:type="dxa"/>
        <w:jc w:val="center"/>
        <w:tblInd w:w="-4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364"/>
        <w:gridCol w:w="1800"/>
        <w:gridCol w:w="810"/>
        <w:gridCol w:w="1260"/>
        <w:gridCol w:w="1260"/>
        <w:gridCol w:w="810"/>
        <w:gridCol w:w="1170"/>
        <w:gridCol w:w="1093"/>
      </w:tblGrid>
      <w:tr w:rsidR="00F15FA5" w:rsidRPr="0015783A" w:rsidTr="00510977">
        <w:trPr>
          <w:trHeight w:val="169"/>
          <w:jc w:val="center"/>
        </w:trPr>
        <w:tc>
          <w:tcPr>
            <w:tcW w:w="1364" w:type="dxa"/>
            <w:tcBorders>
              <w:top w:val="single" w:sz="8" w:space="0" w:color="4F81BD"/>
              <w:left w:val="single" w:sz="8" w:space="0" w:color="4F81BD"/>
              <w:bottom w:val="single" w:sz="18" w:space="0" w:color="4F81BD"/>
              <w:right w:val="single" w:sz="8" w:space="0" w:color="4F81BD"/>
            </w:tcBorders>
            <w:hideMark/>
          </w:tcPr>
          <w:p w:rsidR="00DE0827" w:rsidRPr="0015783A" w:rsidRDefault="00192BA1"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 xml:space="preserve">Int’l </w:t>
            </w:r>
            <w:r w:rsidR="005C6015" w:rsidRPr="0015783A">
              <w:rPr>
                <w:rFonts w:eastAsia="Times New Roman" w:cs="Arial TUR"/>
                <w:b/>
                <w:bCs/>
                <w:color w:val="000000"/>
                <w:sz w:val="16"/>
                <w:szCs w:val="16"/>
                <w:lang w:val="tr-TR" w:eastAsia="tr-TR"/>
              </w:rPr>
              <w:t xml:space="preserve">Oil </w:t>
            </w:r>
            <w:r w:rsidR="00DE0827" w:rsidRPr="0015783A">
              <w:rPr>
                <w:rFonts w:eastAsia="Times New Roman" w:cs="Arial TUR"/>
                <w:b/>
                <w:bCs/>
                <w:color w:val="000000"/>
                <w:sz w:val="16"/>
                <w:szCs w:val="16"/>
                <w:lang w:val="tr-TR" w:eastAsia="tr-TR"/>
              </w:rPr>
              <w:t>Pipeline</w:t>
            </w:r>
            <w:r w:rsidR="005C6015" w:rsidRPr="0015783A">
              <w:rPr>
                <w:rFonts w:eastAsia="Times New Roman" w:cs="Arial TUR"/>
                <w:b/>
                <w:bCs/>
                <w:color w:val="000000"/>
                <w:sz w:val="16"/>
                <w:szCs w:val="16"/>
                <w:lang w:val="tr-TR" w:eastAsia="tr-TR"/>
              </w:rPr>
              <w:t>s</w:t>
            </w:r>
          </w:p>
        </w:tc>
        <w:tc>
          <w:tcPr>
            <w:tcW w:w="1800" w:type="dxa"/>
            <w:tcBorders>
              <w:top w:val="single" w:sz="8" w:space="0" w:color="4F81BD"/>
              <w:left w:val="single" w:sz="8" w:space="0" w:color="4F81BD"/>
              <w:bottom w:val="single" w:sz="18" w:space="0" w:color="4F81BD"/>
              <w:right w:val="single" w:sz="8" w:space="0" w:color="4F81BD"/>
            </w:tcBorders>
            <w:hideMark/>
          </w:tcPr>
          <w:p w:rsidR="00DE0827" w:rsidRPr="0015783A" w:rsidRDefault="00DE0827"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Route</w:t>
            </w:r>
          </w:p>
        </w:tc>
        <w:tc>
          <w:tcPr>
            <w:tcW w:w="810" w:type="dxa"/>
            <w:tcBorders>
              <w:top w:val="single" w:sz="8" w:space="0" w:color="4F81BD"/>
              <w:left w:val="single" w:sz="8" w:space="0" w:color="4F81BD"/>
              <w:bottom w:val="single" w:sz="18" w:space="0" w:color="4F81BD"/>
              <w:right w:val="single" w:sz="8" w:space="0" w:color="4F81BD"/>
            </w:tcBorders>
            <w:noWrap/>
            <w:hideMark/>
          </w:tcPr>
          <w:p w:rsidR="00DE0827" w:rsidRPr="0015783A" w:rsidRDefault="00DE0827"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Length</w:t>
            </w:r>
          </w:p>
        </w:tc>
        <w:tc>
          <w:tcPr>
            <w:tcW w:w="1260" w:type="dxa"/>
            <w:tcBorders>
              <w:top w:val="single" w:sz="8" w:space="0" w:color="4F81BD"/>
              <w:left w:val="single" w:sz="8" w:space="0" w:color="4F81BD"/>
              <w:bottom w:val="single" w:sz="18" w:space="0" w:color="4F81BD"/>
              <w:right w:val="single" w:sz="8" w:space="0" w:color="4F81BD"/>
            </w:tcBorders>
            <w:noWrap/>
            <w:hideMark/>
          </w:tcPr>
          <w:p w:rsidR="00DE0827" w:rsidRPr="0015783A" w:rsidRDefault="00DE0827" w:rsidP="00F15FA5">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Diameter</w:t>
            </w:r>
            <w:r w:rsidR="00F15FA5">
              <w:rPr>
                <w:rFonts w:eastAsia="Times New Roman" w:cs="Arial TUR"/>
                <w:b/>
                <w:bCs/>
                <w:color w:val="000000"/>
                <w:sz w:val="16"/>
                <w:szCs w:val="16"/>
                <w:lang w:val="tr-TR" w:eastAsia="tr-TR"/>
              </w:rPr>
              <w:t xml:space="preserve"> </w:t>
            </w:r>
            <w:r w:rsidR="00F15FA5" w:rsidRPr="00510977">
              <w:rPr>
                <w:rFonts w:eastAsia="Times New Roman" w:cs="Arial TUR"/>
                <w:bCs/>
                <w:color w:val="000000"/>
                <w:sz w:val="16"/>
                <w:szCs w:val="16"/>
                <w:lang w:val="tr-TR" w:eastAsia="tr-TR"/>
              </w:rPr>
              <w:t>(inch)</w:t>
            </w:r>
          </w:p>
        </w:tc>
        <w:tc>
          <w:tcPr>
            <w:tcW w:w="1260" w:type="dxa"/>
            <w:tcBorders>
              <w:top w:val="single" w:sz="8" w:space="0" w:color="4F81BD"/>
              <w:left w:val="single" w:sz="8" w:space="0" w:color="4F81BD"/>
              <w:bottom w:val="single" w:sz="18" w:space="0" w:color="4F81BD"/>
              <w:right w:val="single" w:sz="8" w:space="0" w:color="4F81BD"/>
            </w:tcBorders>
            <w:noWrap/>
            <w:hideMark/>
          </w:tcPr>
          <w:p w:rsidR="00DE0827" w:rsidRPr="0015783A" w:rsidRDefault="00DE0827"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Capacity</w:t>
            </w:r>
          </w:p>
        </w:tc>
        <w:tc>
          <w:tcPr>
            <w:tcW w:w="810" w:type="dxa"/>
            <w:tcBorders>
              <w:top w:val="single" w:sz="8" w:space="0" w:color="4F81BD"/>
              <w:left w:val="single" w:sz="8" w:space="0" w:color="4F81BD"/>
              <w:bottom w:val="single" w:sz="18" w:space="0" w:color="4F81BD"/>
              <w:right w:val="single" w:sz="8" w:space="0" w:color="4F81BD"/>
            </w:tcBorders>
            <w:noWrap/>
            <w:hideMark/>
          </w:tcPr>
          <w:p w:rsidR="00DE0827" w:rsidRPr="0015783A" w:rsidRDefault="00DE0827"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Cost ($)</w:t>
            </w:r>
          </w:p>
        </w:tc>
        <w:tc>
          <w:tcPr>
            <w:tcW w:w="1170" w:type="dxa"/>
            <w:tcBorders>
              <w:top w:val="single" w:sz="8" w:space="0" w:color="4F81BD"/>
              <w:left w:val="single" w:sz="8" w:space="0" w:color="4F81BD"/>
              <w:bottom w:val="single" w:sz="18" w:space="0" w:color="4F81BD"/>
              <w:right w:val="single" w:sz="8" w:space="0" w:color="4F81BD"/>
            </w:tcBorders>
            <w:hideMark/>
          </w:tcPr>
          <w:p w:rsidR="00DE0827" w:rsidRPr="0015783A" w:rsidRDefault="00DE0827"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Source</w:t>
            </w:r>
          </w:p>
        </w:tc>
        <w:tc>
          <w:tcPr>
            <w:tcW w:w="1093" w:type="dxa"/>
            <w:tcBorders>
              <w:top w:val="single" w:sz="8" w:space="0" w:color="4F81BD"/>
              <w:left w:val="single" w:sz="8" w:space="0" w:color="4F81BD"/>
              <w:bottom w:val="single" w:sz="18" w:space="0" w:color="4F81BD"/>
              <w:right w:val="single" w:sz="8" w:space="0" w:color="4F81BD"/>
            </w:tcBorders>
            <w:noWrap/>
            <w:hideMark/>
          </w:tcPr>
          <w:p w:rsidR="00DE0827" w:rsidRPr="0015783A" w:rsidRDefault="00DE0827" w:rsidP="0015783A">
            <w:pPr>
              <w:spacing w:after="0" w:line="240" w:lineRule="auto"/>
              <w:jc w:val="center"/>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Status</w:t>
            </w:r>
          </w:p>
        </w:tc>
      </w:tr>
      <w:tr w:rsidR="00F15FA5" w:rsidRPr="0015783A" w:rsidTr="00510977">
        <w:trPr>
          <w:trHeight w:val="135"/>
          <w:jc w:val="center"/>
        </w:trPr>
        <w:tc>
          <w:tcPr>
            <w:tcW w:w="1364"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F15FA5" w:rsidP="0015783A">
            <w:pPr>
              <w:spacing w:after="0" w:line="240" w:lineRule="auto"/>
              <w:rPr>
                <w:rFonts w:eastAsia="Times New Roman" w:cs="Arial TUR"/>
                <w:b/>
                <w:bCs/>
                <w:color w:val="000000"/>
                <w:sz w:val="16"/>
                <w:szCs w:val="16"/>
                <w:lang w:val="tr-TR" w:eastAsia="tr-TR"/>
              </w:rPr>
            </w:pPr>
            <w:r>
              <w:rPr>
                <w:rFonts w:eastAsia="Times New Roman" w:cs="Arial TUR"/>
                <w:b/>
                <w:bCs/>
                <w:color w:val="000000"/>
                <w:sz w:val="16"/>
                <w:szCs w:val="16"/>
                <w:lang w:val="tr-TR" w:eastAsia="tr-TR"/>
              </w:rPr>
              <w:t>BTC</w:t>
            </w:r>
          </w:p>
        </w:tc>
        <w:tc>
          <w:tcPr>
            <w:tcW w:w="1800"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A10B2D" w:rsidP="005251D6">
            <w:pPr>
              <w:spacing w:after="0" w:line="240" w:lineRule="auto"/>
              <w:rPr>
                <w:rFonts w:eastAsia="Times New Roman" w:cs="Arial TUR"/>
                <w:color w:val="000000"/>
                <w:sz w:val="16"/>
                <w:szCs w:val="16"/>
                <w:lang w:val="tr-TR" w:eastAsia="tr-TR"/>
              </w:rPr>
            </w:pPr>
            <w:r>
              <w:rPr>
                <w:rFonts w:eastAsia="Times New Roman" w:cs="Arial TUR"/>
                <w:color w:val="000000"/>
                <w:sz w:val="16"/>
                <w:szCs w:val="16"/>
                <w:lang w:val="tr-TR" w:eastAsia="tr-TR"/>
              </w:rPr>
              <w:t>Baku -Tbilisi-</w:t>
            </w:r>
            <w:r w:rsidR="00DE0827" w:rsidRPr="0015783A">
              <w:rPr>
                <w:rFonts w:eastAsia="Times New Roman" w:cs="Arial TUR"/>
                <w:color w:val="000000"/>
                <w:sz w:val="16"/>
                <w:szCs w:val="16"/>
                <w:lang w:val="tr-TR" w:eastAsia="tr-TR"/>
              </w:rPr>
              <w:t xml:space="preserve"> Ceyhan</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1769 km</w:t>
            </w:r>
          </w:p>
        </w:tc>
        <w:tc>
          <w:tcPr>
            <w:tcW w:w="12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46"/42"/34"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A10B2D" w:rsidP="0015783A">
            <w:pPr>
              <w:spacing w:after="0" w:line="240" w:lineRule="auto"/>
              <w:jc w:val="center"/>
              <w:rPr>
                <w:rFonts w:eastAsia="Times New Roman" w:cs="Arial TUR"/>
                <w:color w:val="000000"/>
                <w:sz w:val="16"/>
                <w:szCs w:val="16"/>
                <w:lang w:val="tr-TR" w:eastAsia="tr-TR"/>
              </w:rPr>
            </w:pPr>
            <w:r>
              <w:rPr>
                <w:rFonts w:eastAsia="Times New Roman" w:cs="Arial TUR"/>
                <w:color w:val="000000"/>
                <w:sz w:val="16"/>
                <w:szCs w:val="16"/>
                <w:lang w:val="tr-TR" w:eastAsia="tr-TR"/>
              </w:rPr>
              <w:t>1 ml bbl/d</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4,80 bl</w:t>
            </w:r>
          </w:p>
        </w:tc>
        <w:tc>
          <w:tcPr>
            <w:tcW w:w="1170"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Azerbaijan Kazakhstan</w:t>
            </w:r>
          </w:p>
        </w:tc>
        <w:tc>
          <w:tcPr>
            <w:tcW w:w="1093"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DE0827" w:rsidP="00F15FA5">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 xml:space="preserve">In operation </w:t>
            </w:r>
          </w:p>
        </w:tc>
      </w:tr>
      <w:tr w:rsidR="00F15FA5" w:rsidRPr="0015783A" w:rsidTr="00510977">
        <w:trPr>
          <w:trHeight w:val="241"/>
          <w:jc w:val="center"/>
        </w:trPr>
        <w:tc>
          <w:tcPr>
            <w:tcW w:w="1364" w:type="dxa"/>
            <w:tcBorders>
              <w:top w:val="single" w:sz="8" w:space="0" w:color="4F81BD"/>
              <w:left w:val="single" w:sz="8" w:space="0" w:color="4F81BD"/>
              <w:bottom w:val="single" w:sz="8" w:space="0" w:color="4F81BD"/>
              <w:right w:val="single" w:sz="8" w:space="0" w:color="4F81BD"/>
            </w:tcBorders>
            <w:hideMark/>
          </w:tcPr>
          <w:p w:rsidR="00DE0827" w:rsidRPr="0015783A" w:rsidRDefault="00DE0827" w:rsidP="0015783A">
            <w:pPr>
              <w:spacing w:after="0" w:line="240" w:lineRule="auto"/>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Iraq -Turkey</w:t>
            </w:r>
          </w:p>
        </w:tc>
        <w:tc>
          <w:tcPr>
            <w:tcW w:w="1800" w:type="dxa"/>
            <w:tcBorders>
              <w:top w:val="single" w:sz="8" w:space="0" w:color="4F81BD"/>
              <w:left w:val="single" w:sz="8" w:space="0" w:color="4F81BD"/>
              <w:bottom w:val="single" w:sz="8" w:space="0" w:color="4F81BD"/>
              <w:right w:val="single" w:sz="8" w:space="0" w:color="4F81BD"/>
            </w:tcBorders>
            <w:hideMark/>
          </w:tcPr>
          <w:p w:rsidR="00DE0827" w:rsidRPr="0015783A" w:rsidRDefault="00DE0827" w:rsidP="005251D6">
            <w:pPr>
              <w:spacing w:after="0" w:line="240" w:lineRule="auto"/>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Kirkuk - Yumurtalik</w:t>
            </w:r>
          </w:p>
        </w:tc>
        <w:tc>
          <w:tcPr>
            <w:tcW w:w="810" w:type="dxa"/>
            <w:tcBorders>
              <w:top w:val="single" w:sz="8" w:space="0" w:color="4F81BD"/>
              <w:left w:val="single" w:sz="8" w:space="0" w:color="4F81BD"/>
              <w:bottom w:val="single" w:sz="8" w:space="0" w:color="4F81BD"/>
              <w:right w:val="single" w:sz="8" w:space="0" w:color="4F81BD"/>
            </w:tcBorders>
            <w:hideMark/>
          </w:tcPr>
          <w:p w:rsidR="00DE0827" w:rsidRPr="0015783A" w:rsidRDefault="00DE0827" w:rsidP="005251D6">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1876 km</w:t>
            </w:r>
          </w:p>
        </w:tc>
        <w:tc>
          <w:tcPr>
            <w:tcW w:w="1260" w:type="dxa"/>
            <w:tcBorders>
              <w:top w:val="single" w:sz="8" w:space="0" w:color="4F81BD"/>
              <w:left w:val="single" w:sz="8" w:space="0" w:color="4F81BD"/>
              <w:bottom w:val="single" w:sz="8" w:space="0" w:color="4F81BD"/>
              <w:right w:val="single" w:sz="8" w:space="0" w:color="4F81BD"/>
            </w:tcBorders>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46"/40"</w:t>
            </w:r>
          </w:p>
        </w:tc>
        <w:tc>
          <w:tcPr>
            <w:tcW w:w="1260" w:type="dxa"/>
            <w:tcBorders>
              <w:top w:val="single" w:sz="8" w:space="0" w:color="4F81BD"/>
              <w:left w:val="single" w:sz="8" w:space="0" w:color="4F81BD"/>
              <w:bottom w:val="single" w:sz="8" w:space="0" w:color="4F81BD"/>
              <w:right w:val="single" w:sz="8" w:space="0" w:color="4F81BD"/>
            </w:tcBorders>
            <w:noWrap/>
            <w:hideMark/>
          </w:tcPr>
          <w:p w:rsidR="00DE0827" w:rsidRPr="0015783A" w:rsidRDefault="00A10B2D" w:rsidP="0015783A">
            <w:pPr>
              <w:spacing w:after="0" w:line="240" w:lineRule="auto"/>
              <w:jc w:val="center"/>
              <w:rPr>
                <w:rFonts w:eastAsia="Times New Roman" w:cs="Arial TUR"/>
                <w:color w:val="000000"/>
                <w:sz w:val="16"/>
                <w:szCs w:val="16"/>
                <w:lang w:val="tr-TR" w:eastAsia="tr-TR"/>
              </w:rPr>
            </w:pPr>
            <w:r>
              <w:rPr>
                <w:rFonts w:eastAsia="Times New Roman" w:cs="Arial TUR"/>
                <w:color w:val="000000"/>
                <w:sz w:val="16"/>
                <w:szCs w:val="16"/>
                <w:lang w:val="tr-TR" w:eastAsia="tr-TR"/>
              </w:rPr>
              <w:t>1,37 ml bbl</w:t>
            </w:r>
            <w:r w:rsidR="00DE0827" w:rsidRPr="0015783A">
              <w:rPr>
                <w:rFonts w:eastAsia="Times New Roman" w:cs="Arial TUR"/>
                <w:color w:val="000000"/>
                <w:sz w:val="16"/>
                <w:szCs w:val="16"/>
                <w:lang w:val="tr-TR" w:eastAsia="tr-TR"/>
              </w:rPr>
              <w:t>/</w:t>
            </w:r>
            <w:r>
              <w:rPr>
                <w:rFonts w:eastAsia="Times New Roman" w:cs="Arial TUR"/>
                <w:color w:val="000000"/>
                <w:sz w:val="16"/>
                <w:szCs w:val="16"/>
                <w:lang w:val="tr-TR" w:eastAsia="tr-TR"/>
              </w:rPr>
              <w:t>d</w:t>
            </w:r>
          </w:p>
        </w:tc>
        <w:tc>
          <w:tcPr>
            <w:tcW w:w="810" w:type="dxa"/>
            <w:tcBorders>
              <w:top w:val="single" w:sz="8" w:space="0" w:color="4F81BD"/>
              <w:left w:val="single" w:sz="8" w:space="0" w:color="4F81BD"/>
              <w:bottom w:val="single" w:sz="8" w:space="0" w:color="4F81BD"/>
              <w:right w:val="single" w:sz="8" w:space="0" w:color="4F81BD"/>
            </w:tcBorders>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w:t>
            </w:r>
          </w:p>
        </w:tc>
        <w:tc>
          <w:tcPr>
            <w:tcW w:w="1170" w:type="dxa"/>
            <w:tcBorders>
              <w:top w:val="single" w:sz="8" w:space="0" w:color="4F81BD"/>
              <w:left w:val="single" w:sz="8" w:space="0" w:color="4F81BD"/>
              <w:bottom w:val="single" w:sz="8" w:space="0" w:color="4F81BD"/>
              <w:right w:val="single" w:sz="8" w:space="0" w:color="4F81BD"/>
            </w:tcBorders>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Iraq</w:t>
            </w:r>
          </w:p>
        </w:tc>
        <w:tc>
          <w:tcPr>
            <w:tcW w:w="1093" w:type="dxa"/>
            <w:tcBorders>
              <w:top w:val="single" w:sz="8" w:space="0" w:color="4F81BD"/>
              <w:left w:val="single" w:sz="8" w:space="0" w:color="4F81BD"/>
              <w:bottom w:val="single" w:sz="8" w:space="0" w:color="4F81BD"/>
              <w:right w:val="single" w:sz="8" w:space="0" w:color="4F81BD"/>
            </w:tcBorders>
            <w:hideMark/>
          </w:tcPr>
          <w:p w:rsidR="00DE0827" w:rsidRPr="0015783A" w:rsidRDefault="00DE0827" w:rsidP="00F15FA5">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 xml:space="preserve">In operation </w:t>
            </w:r>
          </w:p>
        </w:tc>
      </w:tr>
      <w:tr w:rsidR="00F15FA5" w:rsidRPr="0015783A" w:rsidTr="00510977">
        <w:trPr>
          <w:trHeight w:val="430"/>
          <w:jc w:val="center"/>
        </w:trPr>
        <w:tc>
          <w:tcPr>
            <w:tcW w:w="1364"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DE0827" w:rsidP="0015783A">
            <w:pPr>
              <w:spacing w:after="0" w:line="240" w:lineRule="auto"/>
              <w:rPr>
                <w:rFonts w:eastAsia="Times New Roman" w:cs="Arial TUR"/>
                <w:b/>
                <w:bCs/>
                <w:color w:val="000000"/>
                <w:sz w:val="16"/>
                <w:szCs w:val="16"/>
                <w:lang w:val="tr-TR" w:eastAsia="tr-TR"/>
              </w:rPr>
            </w:pPr>
            <w:r w:rsidRPr="0015783A">
              <w:rPr>
                <w:rFonts w:eastAsia="Times New Roman" w:cs="Arial TUR"/>
                <w:b/>
                <w:bCs/>
                <w:color w:val="000000"/>
                <w:sz w:val="16"/>
                <w:szCs w:val="16"/>
                <w:lang w:val="tr-TR" w:eastAsia="tr-TR"/>
              </w:rPr>
              <w:t>Samsun - Ceyhan</w:t>
            </w:r>
          </w:p>
        </w:tc>
        <w:tc>
          <w:tcPr>
            <w:tcW w:w="1800"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DE0827" w:rsidP="005251D6">
            <w:pPr>
              <w:spacing w:after="0" w:line="240" w:lineRule="auto"/>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Samsun - Sivas - Ceyhan</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551 km</w:t>
            </w:r>
          </w:p>
        </w:tc>
        <w:tc>
          <w:tcPr>
            <w:tcW w:w="12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48"/42"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A10B2D" w:rsidP="0015783A">
            <w:pPr>
              <w:spacing w:after="0" w:line="240" w:lineRule="auto"/>
              <w:jc w:val="center"/>
              <w:rPr>
                <w:rFonts w:eastAsia="Times New Roman" w:cs="Arial TUR"/>
                <w:color w:val="000000"/>
                <w:sz w:val="16"/>
                <w:szCs w:val="16"/>
                <w:lang w:val="tr-TR" w:eastAsia="tr-TR"/>
              </w:rPr>
            </w:pPr>
            <w:r>
              <w:rPr>
                <w:rFonts w:eastAsia="Times New Roman" w:cs="Arial TUR"/>
                <w:color w:val="000000"/>
                <w:sz w:val="16"/>
                <w:szCs w:val="16"/>
                <w:lang w:val="tr-TR" w:eastAsia="tr-TR"/>
              </w:rPr>
              <w:t>1,35 ml bbl</w:t>
            </w:r>
            <w:r w:rsidR="00DE0827" w:rsidRPr="0015783A">
              <w:rPr>
                <w:rFonts w:eastAsia="Times New Roman" w:cs="Arial TUR"/>
                <w:color w:val="000000"/>
                <w:sz w:val="16"/>
                <w:szCs w:val="16"/>
                <w:lang w:val="tr-TR" w:eastAsia="tr-TR"/>
              </w:rPr>
              <w:t>/</w:t>
            </w:r>
            <w:r>
              <w:rPr>
                <w:rFonts w:eastAsia="Times New Roman" w:cs="Arial TUR"/>
                <w:color w:val="000000"/>
                <w:sz w:val="16"/>
                <w:szCs w:val="16"/>
                <w:lang w:val="tr-TR" w:eastAsia="tr-TR"/>
              </w:rPr>
              <w:t>d</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2 bl</w:t>
            </w:r>
          </w:p>
        </w:tc>
        <w:tc>
          <w:tcPr>
            <w:tcW w:w="1170"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5251D6" w:rsidP="0015783A">
            <w:pPr>
              <w:spacing w:after="0" w:line="240" w:lineRule="auto"/>
              <w:jc w:val="center"/>
              <w:rPr>
                <w:rFonts w:eastAsia="Times New Roman" w:cs="Arial TUR"/>
                <w:color w:val="000000"/>
                <w:sz w:val="16"/>
                <w:szCs w:val="16"/>
                <w:lang w:val="tr-TR" w:eastAsia="tr-TR"/>
              </w:rPr>
            </w:pPr>
            <w:r>
              <w:rPr>
                <w:rFonts w:eastAsia="Times New Roman" w:cs="Arial TUR"/>
                <w:color w:val="000000"/>
                <w:sz w:val="16"/>
                <w:szCs w:val="16"/>
                <w:lang w:val="tr-TR" w:eastAsia="tr-TR"/>
              </w:rPr>
              <w:t xml:space="preserve">Caspian Region, </w:t>
            </w:r>
            <w:r w:rsidR="00DE0827" w:rsidRPr="0015783A">
              <w:rPr>
                <w:rFonts w:eastAsia="Times New Roman" w:cs="Arial TUR"/>
                <w:color w:val="000000"/>
                <w:sz w:val="16"/>
                <w:szCs w:val="16"/>
                <w:lang w:val="tr-TR" w:eastAsia="tr-TR"/>
              </w:rPr>
              <w:t>Russia</w:t>
            </w:r>
          </w:p>
        </w:tc>
        <w:tc>
          <w:tcPr>
            <w:tcW w:w="1093" w:type="dxa"/>
            <w:tcBorders>
              <w:top w:val="single" w:sz="8" w:space="0" w:color="4F81BD"/>
              <w:left w:val="single" w:sz="8" w:space="0" w:color="4F81BD"/>
              <w:bottom w:val="single" w:sz="8" w:space="0" w:color="4F81BD"/>
              <w:right w:val="single" w:sz="8" w:space="0" w:color="4F81BD"/>
            </w:tcBorders>
            <w:shd w:val="clear" w:color="auto" w:fill="D3DFEE"/>
            <w:hideMark/>
          </w:tcPr>
          <w:p w:rsidR="00DE0827" w:rsidRPr="0015783A" w:rsidRDefault="00DE0827" w:rsidP="0015783A">
            <w:pPr>
              <w:spacing w:after="0" w:line="240" w:lineRule="auto"/>
              <w:jc w:val="center"/>
              <w:rPr>
                <w:rFonts w:eastAsia="Times New Roman" w:cs="Arial TUR"/>
                <w:color w:val="000000"/>
                <w:sz w:val="16"/>
                <w:szCs w:val="16"/>
                <w:lang w:val="tr-TR" w:eastAsia="tr-TR"/>
              </w:rPr>
            </w:pPr>
            <w:r w:rsidRPr="0015783A">
              <w:rPr>
                <w:rFonts w:eastAsia="Times New Roman" w:cs="Arial TUR"/>
                <w:color w:val="000000"/>
                <w:sz w:val="16"/>
                <w:szCs w:val="16"/>
                <w:lang w:val="tr-TR" w:eastAsia="tr-TR"/>
              </w:rPr>
              <w:t>Under Construction</w:t>
            </w:r>
          </w:p>
        </w:tc>
      </w:tr>
    </w:tbl>
    <w:p w:rsidR="00064CD5" w:rsidRDefault="00CD5FC3" w:rsidP="00E053C0">
      <w:pPr>
        <w:spacing w:after="0"/>
        <w:rPr>
          <w:sz w:val="16"/>
          <w:szCs w:val="16"/>
        </w:rPr>
      </w:pPr>
      <w:r>
        <w:rPr>
          <w:b/>
          <w:i/>
          <w:sz w:val="16"/>
          <w:szCs w:val="16"/>
        </w:rPr>
        <w:t xml:space="preserve">        </w:t>
      </w:r>
      <w:r w:rsidR="00DE0827" w:rsidRPr="00DE0827">
        <w:rPr>
          <w:b/>
          <w:i/>
          <w:sz w:val="16"/>
          <w:szCs w:val="16"/>
        </w:rPr>
        <w:t>Source:</w:t>
      </w:r>
      <w:r w:rsidR="00DE0827" w:rsidRPr="00DE0827">
        <w:rPr>
          <w:sz w:val="16"/>
          <w:szCs w:val="16"/>
        </w:rPr>
        <w:t xml:space="preserve"> MENR</w:t>
      </w:r>
      <w:r w:rsidR="006B0339">
        <w:rPr>
          <w:sz w:val="16"/>
          <w:szCs w:val="16"/>
        </w:rPr>
        <w:t xml:space="preserve"> </w:t>
      </w:r>
    </w:p>
    <w:p w:rsidR="006B0339" w:rsidRPr="00F36DBC" w:rsidRDefault="00CD5FC3" w:rsidP="006B0339">
      <w:pPr>
        <w:spacing w:after="0"/>
        <w:jc w:val="center"/>
        <w:rPr>
          <w:b/>
          <w:bCs/>
          <w:sz w:val="16"/>
          <w:szCs w:val="16"/>
        </w:rPr>
      </w:pPr>
      <w:r>
        <w:rPr>
          <w:b/>
          <w:bCs/>
          <w:sz w:val="16"/>
          <w:szCs w:val="16"/>
        </w:rPr>
        <w:t>C</w:t>
      </w:r>
      <w:r w:rsidR="006B0339" w:rsidRPr="00F36DBC">
        <w:rPr>
          <w:b/>
          <w:bCs/>
          <w:sz w:val="16"/>
          <w:szCs w:val="16"/>
        </w:rPr>
        <w:t>rude Oil Transportation (Thousand Barrels</w:t>
      </w:r>
      <w:r w:rsidR="005251D6">
        <w:rPr>
          <w:b/>
          <w:bCs/>
          <w:sz w:val="16"/>
          <w:szCs w:val="16"/>
        </w:rPr>
        <w:t xml:space="preserve"> / Year</w:t>
      </w:r>
      <w:r w:rsidR="006B0339" w:rsidRPr="00F36DBC">
        <w:rPr>
          <w:b/>
          <w:bCs/>
          <w:sz w:val="16"/>
          <w:szCs w:val="16"/>
        </w:rPr>
        <w:t>)</w:t>
      </w:r>
    </w:p>
    <w:tbl>
      <w:tblPr>
        <w:tblW w:w="4028"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983"/>
        <w:gridCol w:w="1353"/>
        <w:gridCol w:w="1756"/>
        <w:gridCol w:w="1561"/>
        <w:gridCol w:w="1394"/>
        <w:gridCol w:w="957"/>
      </w:tblGrid>
      <w:tr w:rsidR="006B0339" w:rsidRPr="0015783A" w:rsidTr="0015783A">
        <w:trPr>
          <w:jc w:val="center"/>
        </w:trPr>
        <w:tc>
          <w:tcPr>
            <w:tcW w:w="614" w:type="pct"/>
            <w:tcBorders>
              <w:top w:val="single" w:sz="8" w:space="0" w:color="4F81BD"/>
              <w:left w:val="single" w:sz="8" w:space="0" w:color="4F81BD"/>
              <w:bottom w:val="single" w:sz="1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 </w:t>
            </w:r>
          </w:p>
        </w:tc>
        <w:tc>
          <w:tcPr>
            <w:tcW w:w="845" w:type="pct"/>
            <w:tcBorders>
              <w:top w:val="single" w:sz="8" w:space="0" w:color="4F81BD"/>
              <w:left w:val="single" w:sz="8" w:space="0" w:color="4F81BD"/>
              <w:bottom w:val="single" w:sz="1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IRAK-TURKEY</w:t>
            </w:r>
          </w:p>
        </w:tc>
        <w:tc>
          <w:tcPr>
            <w:tcW w:w="1097" w:type="pct"/>
            <w:tcBorders>
              <w:top w:val="single" w:sz="8" w:space="0" w:color="4F81BD"/>
              <w:left w:val="single" w:sz="8" w:space="0" w:color="4F81BD"/>
              <w:bottom w:val="single" w:sz="1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 xml:space="preserve">CEYHAN-KIRIKKALE </w:t>
            </w:r>
          </w:p>
        </w:tc>
        <w:tc>
          <w:tcPr>
            <w:tcW w:w="975" w:type="pct"/>
            <w:tcBorders>
              <w:top w:val="single" w:sz="8" w:space="0" w:color="4F81BD"/>
              <w:left w:val="single" w:sz="8" w:space="0" w:color="4F81BD"/>
              <w:bottom w:val="single" w:sz="1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 xml:space="preserve">BATMAN-DÖRTYOL </w:t>
            </w:r>
          </w:p>
        </w:tc>
        <w:tc>
          <w:tcPr>
            <w:tcW w:w="871" w:type="pct"/>
            <w:tcBorders>
              <w:top w:val="single" w:sz="8" w:space="0" w:color="4F81BD"/>
              <w:left w:val="single" w:sz="8" w:space="0" w:color="4F81BD"/>
              <w:bottom w:val="single" w:sz="1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ŞELMO-BATMAN</w:t>
            </w:r>
          </w:p>
        </w:tc>
        <w:tc>
          <w:tcPr>
            <w:tcW w:w="598" w:type="pct"/>
            <w:tcBorders>
              <w:top w:val="single" w:sz="8" w:space="0" w:color="4F81BD"/>
              <w:left w:val="single" w:sz="8" w:space="0" w:color="4F81BD"/>
              <w:bottom w:val="single" w:sz="1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 xml:space="preserve">BTC (BIL) </w:t>
            </w:r>
          </w:p>
        </w:tc>
      </w:tr>
      <w:tr w:rsidR="006B0339" w:rsidRPr="0015783A" w:rsidTr="0015783A">
        <w:trPr>
          <w:jc w:val="center"/>
        </w:trPr>
        <w:tc>
          <w:tcPr>
            <w:tcW w:w="614"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2006</w:t>
            </w:r>
          </w:p>
        </w:tc>
        <w:tc>
          <w:tcPr>
            <w:tcW w:w="845"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12.930</w:t>
            </w:r>
          </w:p>
        </w:tc>
        <w:tc>
          <w:tcPr>
            <w:tcW w:w="1097"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27.381</w:t>
            </w:r>
          </w:p>
        </w:tc>
        <w:tc>
          <w:tcPr>
            <w:tcW w:w="975"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10.822</w:t>
            </w:r>
          </w:p>
        </w:tc>
        <w:tc>
          <w:tcPr>
            <w:tcW w:w="871"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535</w:t>
            </w:r>
          </w:p>
        </w:tc>
        <w:tc>
          <w:tcPr>
            <w:tcW w:w="598"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57</w:t>
            </w:r>
          </w:p>
        </w:tc>
      </w:tr>
      <w:tr w:rsidR="006B0339" w:rsidRPr="0015783A" w:rsidTr="0015783A">
        <w:trPr>
          <w:jc w:val="center"/>
        </w:trPr>
        <w:tc>
          <w:tcPr>
            <w:tcW w:w="614" w:type="pct"/>
            <w:tcBorders>
              <w:top w:val="single" w:sz="8" w:space="0" w:color="4F81BD"/>
              <w:left w:val="single" w:sz="8" w:space="0" w:color="4F81BD"/>
              <w:bottom w:val="single" w:sz="8" w:space="0" w:color="4F81BD"/>
              <w:right w:val="single" w:sz="8" w:space="0" w:color="4F81BD"/>
            </w:tcBorders>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2007</w:t>
            </w:r>
          </w:p>
        </w:tc>
        <w:tc>
          <w:tcPr>
            <w:tcW w:w="845" w:type="pct"/>
            <w:tcBorders>
              <w:top w:val="single" w:sz="8" w:space="0" w:color="4F81BD"/>
              <w:left w:val="single" w:sz="8" w:space="0" w:color="4F81BD"/>
              <w:bottom w:val="single" w:sz="8" w:space="0" w:color="4F81BD"/>
              <w:right w:val="single" w:sz="8" w:space="0" w:color="4F81BD"/>
            </w:tcBorders>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39.833</w:t>
            </w:r>
          </w:p>
        </w:tc>
        <w:tc>
          <w:tcPr>
            <w:tcW w:w="1097" w:type="pct"/>
            <w:tcBorders>
              <w:top w:val="single" w:sz="8" w:space="0" w:color="4F81BD"/>
              <w:left w:val="single" w:sz="8" w:space="0" w:color="4F81BD"/>
              <w:bottom w:val="single" w:sz="8" w:space="0" w:color="4F81BD"/>
              <w:right w:val="single" w:sz="8" w:space="0" w:color="4F81BD"/>
            </w:tcBorders>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23.003</w:t>
            </w:r>
          </w:p>
        </w:tc>
        <w:tc>
          <w:tcPr>
            <w:tcW w:w="975" w:type="pct"/>
            <w:tcBorders>
              <w:top w:val="single" w:sz="8" w:space="0" w:color="4F81BD"/>
              <w:left w:val="single" w:sz="8" w:space="0" w:color="4F81BD"/>
              <w:bottom w:val="single" w:sz="8" w:space="0" w:color="4F81BD"/>
              <w:right w:val="single" w:sz="8" w:space="0" w:color="4F81BD"/>
            </w:tcBorders>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10.147</w:t>
            </w:r>
          </w:p>
        </w:tc>
        <w:tc>
          <w:tcPr>
            <w:tcW w:w="871" w:type="pct"/>
            <w:tcBorders>
              <w:top w:val="single" w:sz="8" w:space="0" w:color="4F81BD"/>
              <w:left w:val="single" w:sz="8" w:space="0" w:color="4F81BD"/>
              <w:bottom w:val="single" w:sz="8" w:space="0" w:color="4F81BD"/>
              <w:right w:val="single" w:sz="8" w:space="0" w:color="4F81BD"/>
            </w:tcBorders>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507</w:t>
            </w:r>
          </w:p>
        </w:tc>
        <w:tc>
          <w:tcPr>
            <w:tcW w:w="598" w:type="pct"/>
            <w:tcBorders>
              <w:top w:val="single" w:sz="8" w:space="0" w:color="4F81BD"/>
              <w:left w:val="single" w:sz="8" w:space="0" w:color="4F81BD"/>
              <w:bottom w:val="single" w:sz="8" w:space="0" w:color="4F81BD"/>
              <w:right w:val="single" w:sz="8" w:space="0" w:color="4F81BD"/>
            </w:tcBorders>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210.352</w:t>
            </w:r>
          </w:p>
        </w:tc>
      </w:tr>
      <w:tr w:rsidR="006B0339" w:rsidRPr="0015783A" w:rsidTr="0015783A">
        <w:trPr>
          <w:jc w:val="center"/>
        </w:trPr>
        <w:tc>
          <w:tcPr>
            <w:tcW w:w="614"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b/>
                <w:bCs/>
                <w:color w:val="000000"/>
                <w:sz w:val="16"/>
                <w:szCs w:val="16"/>
                <w:lang w:val="tr-TR" w:eastAsia="tr-TR"/>
              </w:rPr>
            </w:pPr>
            <w:r w:rsidRPr="0015783A">
              <w:rPr>
                <w:rFonts w:eastAsia="Times New Roman"/>
                <w:b/>
                <w:bCs/>
                <w:color w:val="000000"/>
                <w:sz w:val="16"/>
                <w:szCs w:val="16"/>
                <w:lang w:val="tr-TR" w:eastAsia="tr-TR"/>
              </w:rPr>
              <w:t>2008*</w:t>
            </w:r>
          </w:p>
        </w:tc>
        <w:tc>
          <w:tcPr>
            <w:tcW w:w="845"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79.095</w:t>
            </w:r>
          </w:p>
        </w:tc>
        <w:tc>
          <w:tcPr>
            <w:tcW w:w="1097"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12.874</w:t>
            </w:r>
          </w:p>
        </w:tc>
        <w:tc>
          <w:tcPr>
            <w:tcW w:w="975"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6.065</w:t>
            </w:r>
          </w:p>
        </w:tc>
        <w:tc>
          <w:tcPr>
            <w:tcW w:w="871"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w:t>
            </w:r>
          </w:p>
        </w:tc>
        <w:tc>
          <w:tcPr>
            <w:tcW w:w="598" w:type="pct"/>
            <w:tcBorders>
              <w:top w:val="single" w:sz="8" w:space="0" w:color="4F81BD"/>
              <w:left w:val="single" w:sz="8" w:space="0" w:color="4F81BD"/>
              <w:bottom w:val="single" w:sz="8" w:space="0" w:color="4F81BD"/>
              <w:right w:val="single" w:sz="8" w:space="0" w:color="4F81BD"/>
            </w:tcBorders>
            <w:shd w:val="clear" w:color="auto" w:fill="D3DFEE"/>
            <w:hideMark/>
          </w:tcPr>
          <w:p w:rsidR="006B0339" w:rsidRPr="0015783A" w:rsidRDefault="006B0339" w:rsidP="0015783A">
            <w:pPr>
              <w:spacing w:after="0" w:line="240" w:lineRule="auto"/>
              <w:jc w:val="center"/>
              <w:rPr>
                <w:rFonts w:eastAsia="Times New Roman"/>
                <w:color w:val="000000"/>
                <w:sz w:val="16"/>
                <w:szCs w:val="16"/>
                <w:lang w:val="tr-TR" w:eastAsia="tr-TR"/>
              </w:rPr>
            </w:pPr>
            <w:r w:rsidRPr="0015783A">
              <w:rPr>
                <w:rFonts w:eastAsia="Times New Roman"/>
                <w:bCs/>
                <w:color w:val="000000"/>
                <w:sz w:val="16"/>
                <w:szCs w:val="16"/>
                <w:lang w:val="tr-TR" w:eastAsia="tr-TR"/>
              </w:rPr>
              <w:t>162.712</w:t>
            </w:r>
          </w:p>
        </w:tc>
      </w:tr>
    </w:tbl>
    <w:p w:rsidR="006B0339" w:rsidRPr="00ED3417" w:rsidRDefault="00B062BE" w:rsidP="006B0339">
      <w:pPr>
        <w:spacing w:after="0"/>
        <w:ind w:firstLine="720"/>
        <w:rPr>
          <w:bCs/>
          <w:sz w:val="16"/>
          <w:szCs w:val="16"/>
        </w:rPr>
      </w:pPr>
      <w:r>
        <w:rPr>
          <w:bCs/>
          <w:sz w:val="16"/>
          <w:szCs w:val="16"/>
        </w:rPr>
        <w:t xml:space="preserve">   </w:t>
      </w:r>
      <w:r w:rsidR="006B0339">
        <w:rPr>
          <w:bCs/>
          <w:sz w:val="16"/>
          <w:szCs w:val="16"/>
        </w:rPr>
        <w:t>*</w:t>
      </w:r>
      <w:r w:rsidR="006B0339" w:rsidRPr="00ED3417">
        <w:rPr>
          <w:bCs/>
          <w:sz w:val="16"/>
          <w:szCs w:val="16"/>
        </w:rPr>
        <w:t>As of July 2008</w:t>
      </w:r>
      <w:r w:rsidR="00EA5B2C">
        <w:rPr>
          <w:bCs/>
          <w:sz w:val="16"/>
          <w:szCs w:val="16"/>
        </w:rPr>
        <w:t xml:space="preserve">; </w:t>
      </w:r>
      <w:r w:rsidR="006B0339" w:rsidRPr="006B0339">
        <w:rPr>
          <w:b/>
          <w:bCs/>
          <w:i/>
          <w:sz w:val="16"/>
          <w:szCs w:val="16"/>
        </w:rPr>
        <w:t>Source:</w:t>
      </w:r>
      <w:r w:rsidR="006B0339">
        <w:rPr>
          <w:bCs/>
          <w:sz w:val="16"/>
          <w:szCs w:val="16"/>
        </w:rPr>
        <w:t xml:space="preserve"> BOTAS</w:t>
      </w:r>
    </w:p>
    <w:p w:rsidR="00EA5B2C" w:rsidRDefault="00EA5B2C" w:rsidP="00E053C0">
      <w:pPr>
        <w:spacing w:after="0"/>
        <w:rPr>
          <w:rStyle w:val="csssubheading2"/>
          <w:b/>
        </w:rPr>
      </w:pPr>
    </w:p>
    <w:p w:rsidR="00DC44B4" w:rsidRPr="00F36DBC" w:rsidRDefault="00DC44B4" w:rsidP="00E053C0">
      <w:pPr>
        <w:spacing w:after="0"/>
        <w:rPr>
          <w:b/>
          <w:sz w:val="20"/>
          <w:szCs w:val="20"/>
        </w:rPr>
      </w:pPr>
      <w:r w:rsidRPr="00F36DBC">
        <w:rPr>
          <w:rStyle w:val="csssubheading2"/>
          <w:b/>
          <w:sz w:val="20"/>
          <w:szCs w:val="20"/>
        </w:rPr>
        <w:t>Baku-Tbilisi-Ceyhan Pipeline</w:t>
      </w:r>
    </w:p>
    <w:p w:rsidR="00E564EF" w:rsidRDefault="00EA5B2C" w:rsidP="00E053C0">
      <w:pPr>
        <w:spacing w:after="0"/>
        <w:rPr>
          <w:sz w:val="20"/>
          <w:szCs w:val="20"/>
        </w:rPr>
      </w:pPr>
      <w:r w:rsidRPr="00F36DBC">
        <w:rPr>
          <w:sz w:val="20"/>
          <w:szCs w:val="20"/>
        </w:rPr>
        <w:t>At the forefront of the</w:t>
      </w:r>
      <w:r w:rsidR="00DC44B4" w:rsidRPr="00F36DBC">
        <w:rPr>
          <w:sz w:val="20"/>
          <w:szCs w:val="20"/>
        </w:rPr>
        <w:t xml:space="preserve"> effort</w:t>
      </w:r>
      <w:r w:rsidRPr="00F36DBC">
        <w:rPr>
          <w:sz w:val="20"/>
          <w:szCs w:val="20"/>
        </w:rPr>
        <w:t xml:space="preserve"> to ease oil traffic through Bosporus</w:t>
      </w:r>
      <w:r w:rsidR="00DC44B4" w:rsidRPr="00F36DBC">
        <w:rPr>
          <w:sz w:val="20"/>
          <w:szCs w:val="20"/>
        </w:rPr>
        <w:t xml:space="preserve"> is the Baku-Tbilisi-Ceyhan (BTC) Pipeline, the first direct pipeline to deliver crude oil from the Caspian Sea to the Mediterranean without crossing Russian soil or passing through the Bosporus or Turkish Straits. The 1,100-mile pipeline cost nearly $4 billion to build, and is operated by a BP-led consortium of 11 national and international oil companies</w:t>
      </w:r>
      <w:r w:rsidR="00342FA6" w:rsidRPr="00F36DBC">
        <w:rPr>
          <w:sz w:val="20"/>
          <w:szCs w:val="20"/>
        </w:rPr>
        <w:t>.</w:t>
      </w:r>
      <w:r w:rsidR="00DC44B4" w:rsidRPr="00F36DBC">
        <w:rPr>
          <w:sz w:val="20"/>
          <w:szCs w:val="20"/>
        </w:rPr>
        <w:t xml:space="preserve"> </w:t>
      </w:r>
    </w:p>
    <w:p w:rsidR="00E564EF" w:rsidRDefault="00E564EF" w:rsidP="00E564EF">
      <w:pPr>
        <w:spacing w:after="0"/>
        <w:jc w:val="center"/>
        <w:rPr>
          <w:sz w:val="20"/>
          <w:szCs w:val="20"/>
        </w:rPr>
      </w:pPr>
      <w:r w:rsidRPr="00E564EF">
        <w:rPr>
          <w:sz w:val="20"/>
          <w:szCs w:val="20"/>
        </w:rPr>
        <w:drawing>
          <wp:inline distT="0" distB="0" distL="0" distR="0">
            <wp:extent cx="3638550" cy="1230923"/>
            <wp:effectExtent l="19050" t="0" r="0" b="0"/>
            <wp:docPr id="3" name="Picture 4" descr="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c"/>
                    <pic:cNvPicPr>
                      <a:picLocks noChangeAspect="1" noChangeArrowheads="1"/>
                    </pic:cNvPicPr>
                  </pic:nvPicPr>
                  <pic:blipFill>
                    <a:blip r:embed="rId14"/>
                    <a:srcRect/>
                    <a:stretch>
                      <a:fillRect/>
                    </a:stretch>
                  </pic:blipFill>
                  <pic:spPr bwMode="auto">
                    <a:xfrm>
                      <a:off x="0" y="0"/>
                      <a:ext cx="3648493" cy="1234287"/>
                    </a:xfrm>
                    <a:prstGeom prst="rect">
                      <a:avLst/>
                    </a:prstGeom>
                    <a:noFill/>
                    <a:ln w="9525">
                      <a:noFill/>
                      <a:miter lim="800000"/>
                      <a:headEnd/>
                      <a:tailEnd/>
                    </a:ln>
                  </pic:spPr>
                </pic:pic>
              </a:graphicData>
            </a:graphic>
          </wp:inline>
        </w:drawing>
      </w:r>
    </w:p>
    <w:p w:rsidR="00DC44B4" w:rsidRPr="00F36DBC" w:rsidRDefault="00DC44B4" w:rsidP="00E053C0">
      <w:pPr>
        <w:spacing w:after="0"/>
        <w:rPr>
          <w:sz w:val="20"/>
          <w:szCs w:val="20"/>
        </w:rPr>
      </w:pPr>
      <w:r w:rsidRPr="00F36DBC">
        <w:rPr>
          <w:sz w:val="20"/>
          <w:szCs w:val="20"/>
        </w:rPr>
        <w:t>In May 2005, Azerbaijan began test filling the Azeri section of the pipeline, and on July 13, 2006, the first tanker at the Turkish port of Ceyhan was filled with oil from BTC</w:t>
      </w:r>
      <w:r w:rsidR="00064CD5" w:rsidRPr="00F36DBC">
        <w:rPr>
          <w:sz w:val="20"/>
          <w:szCs w:val="20"/>
        </w:rPr>
        <w:t>.</w:t>
      </w:r>
      <w:r w:rsidRPr="00F36DBC">
        <w:rPr>
          <w:sz w:val="20"/>
          <w:szCs w:val="20"/>
        </w:rPr>
        <w:t xml:space="preserve"> The line is estimated to have a peak capacity </w:t>
      </w:r>
      <w:proofErr w:type="gramStart"/>
      <w:r w:rsidRPr="00F36DBC">
        <w:rPr>
          <w:sz w:val="20"/>
          <w:szCs w:val="20"/>
        </w:rPr>
        <w:t>of more than one million bbl/d,</w:t>
      </w:r>
      <w:proofErr w:type="gramEnd"/>
      <w:r w:rsidRPr="00F36DBC">
        <w:rPr>
          <w:sz w:val="20"/>
          <w:szCs w:val="20"/>
        </w:rPr>
        <w:t xml:space="preserve"> and Turkey is earn</w:t>
      </w:r>
      <w:r w:rsidR="00064CD5" w:rsidRPr="00F36DBC">
        <w:rPr>
          <w:sz w:val="20"/>
          <w:szCs w:val="20"/>
        </w:rPr>
        <w:t>ing</w:t>
      </w:r>
      <w:r w:rsidRPr="00F36DBC">
        <w:rPr>
          <w:sz w:val="20"/>
          <w:szCs w:val="20"/>
        </w:rPr>
        <w:t xml:space="preserve"> between $140 and $200 million per year in transit and operating fees from the project. </w:t>
      </w:r>
      <w:r w:rsidR="00AF7737" w:rsidRPr="00F36DBC">
        <w:rPr>
          <w:sz w:val="20"/>
          <w:szCs w:val="20"/>
        </w:rPr>
        <w:t xml:space="preserve">The pipeline has a projected lifespan of 40 years, and when working at normal capacity, transport 1 million barrels (160 000 m³) of oil per day. </w:t>
      </w:r>
      <w:r w:rsidR="00D4432C">
        <w:rPr>
          <w:sz w:val="20"/>
          <w:szCs w:val="20"/>
        </w:rPr>
        <w:t>Work is being c</w:t>
      </w:r>
      <w:r w:rsidR="00E564EF">
        <w:rPr>
          <w:sz w:val="20"/>
          <w:szCs w:val="20"/>
        </w:rPr>
        <w:t>arried out to increase the</w:t>
      </w:r>
      <w:r w:rsidR="00D4432C">
        <w:rPr>
          <w:sz w:val="20"/>
          <w:szCs w:val="20"/>
        </w:rPr>
        <w:t xml:space="preserve"> capacity to 1</w:t>
      </w:r>
      <w:proofErr w:type="gramStart"/>
      <w:r w:rsidR="00D4432C">
        <w:rPr>
          <w:sz w:val="20"/>
          <w:szCs w:val="20"/>
        </w:rPr>
        <w:t>,2</w:t>
      </w:r>
      <w:proofErr w:type="gramEnd"/>
      <w:r w:rsidR="00D4432C">
        <w:rPr>
          <w:sz w:val="20"/>
          <w:szCs w:val="20"/>
        </w:rPr>
        <w:t xml:space="preserve"> and 1,6 m bbl/d. </w:t>
      </w:r>
      <w:r w:rsidR="00AF7737" w:rsidRPr="00F36DBC">
        <w:rPr>
          <w:sz w:val="20"/>
          <w:szCs w:val="20"/>
        </w:rPr>
        <w:t>It has a capacity of 10 million barrels (1,600,000 m</w:t>
      </w:r>
      <w:r w:rsidR="00AF7737" w:rsidRPr="00F36DBC">
        <w:rPr>
          <w:sz w:val="20"/>
          <w:szCs w:val="20"/>
          <w:vertAlign w:val="superscript"/>
        </w:rPr>
        <w:t>3</w:t>
      </w:r>
      <w:r w:rsidR="00AF7737" w:rsidRPr="00F36DBC">
        <w:rPr>
          <w:sz w:val="20"/>
          <w:szCs w:val="20"/>
        </w:rPr>
        <w:t>) of oil, which will flow through the pipeline at 2 meters (6.6 ft) per second. There are 8 pump stations through the pipeline route (2 in Azerbaijan, 2 in Georgia, 4 in Turkey). The project includes also the Ceyhan Marine Terminal, two intermediate pigging stations, one pressure reduction station, and 101 small block valves. The pipeline is 1,070 mm (42 inches) diameter for most of its length, narrowing to 865 mm (34 inches) diameter as it nears Ceyhan.</w:t>
      </w:r>
      <w:r w:rsidR="008E1C9E">
        <w:rPr>
          <w:sz w:val="20"/>
          <w:szCs w:val="20"/>
        </w:rPr>
        <w:t xml:space="preserve">  </w:t>
      </w:r>
      <w:r w:rsidRPr="00F36DBC">
        <w:rPr>
          <w:sz w:val="20"/>
          <w:szCs w:val="20"/>
        </w:rPr>
        <w:t>The construction of the BTC Pipeline was carried out by an integrated project team that simultaneously led the construction of the Southern Cau</w:t>
      </w:r>
      <w:r w:rsidR="00AF7737" w:rsidRPr="00F36DBC">
        <w:rPr>
          <w:sz w:val="20"/>
          <w:szCs w:val="20"/>
        </w:rPr>
        <w:t>casus Pipeline (SPC), which</w:t>
      </w:r>
      <w:r w:rsidRPr="00F36DBC">
        <w:rPr>
          <w:sz w:val="20"/>
          <w:szCs w:val="20"/>
        </w:rPr>
        <w:t xml:space="preserve"> transport</w:t>
      </w:r>
      <w:r w:rsidR="00AF7737" w:rsidRPr="00F36DBC">
        <w:rPr>
          <w:sz w:val="20"/>
          <w:szCs w:val="20"/>
        </w:rPr>
        <w:t>s</w:t>
      </w:r>
      <w:r w:rsidRPr="00F36DBC">
        <w:rPr>
          <w:sz w:val="20"/>
          <w:szCs w:val="20"/>
        </w:rPr>
        <w:t xml:space="preserve"> natural gas parallel to </w:t>
      </w:r>
      <w:r w:rsidRPr="00F36DBC">
        <w:rPr>
          <w:sz w:val="20"/>
          <w:szCs w:val="20"/>
        </w:rPr>
        <w:lastRenderedPageBreak/>
        <w:t xml:space="preserve">the BTC for most of its route before connecting to the Turkish gas pipeline network near the town of </w:t>
      </w:r>
      <w:proofErr w:type="spellStart"/>
      <w:r w:rsidRPr="00F36DBC">
        <w:rPr>
          <w:sz w:val="20"/>
          <w:szCs w:val="20"/>
        </w:rPr>
        <w:t>Horasan</w:t>
      </w:r>
      <w:proofErr w:type="spellEnd"/>
      <w:r w:rsidRPr="00F36DBC">
        <w:rPr>
          <w:sz w:val="20"/>
          <w:szCs w:val="20"/>
        </w:rPr>
        <w:t xml:space="preserve">. The BTC Pipeline passes a considerable distance through rugged terrain, reaching an elevation of more than 9,000 feet when traversing the Caucasus Mountains. </w:t>
      </w:r>
    </w:p>
    <w:p w:rsidR="00064CD5" w:rsidRPr="00F36DBC" w:rsidRDefault="00064CD5" w:rsidP="00E053C0">
      <w:pPr>
        <w:spacing w:after="0"/>
        <w:rPr>
          <w:sz w:val="20"/>
          <w:szCs w:val="20"/>
        </w:rPr>
      </w:pPr>
    </w:p>
    <w:p w:rsidR="00DC44B4" w:rsidRPr="00F36DBC" w:rsidRDefault="00DC44B4" w:rsidP="00E053C0">
      <w:pPr>
        <w:spacing w:after="0"/>
        <w:rPr>
          <w:b/>
          <w:sz w:val="20"/>
          <w:szCs w:val="20"/>
        </w:rPr>
      </w:pPr>
      <w:r w:rsidRPr="00F36DBC">
        <w:rPr>
          <w:rStyle w:val="csssubheading2"/>
          <w:b/>
          <w:sz w:val="20"/>
          <w:szCs w:val="20"/>
        </w:rPr>
        <w:t>Kirkuk-Ceyhan Pipeline</w:t>
      </w:r>
    </w:p>
    <w:p w:rsidR="00DC44B4" w:rsidRDefault="00DC44B4" w:rsidP="00E053C0">
      <w:pPr>
        <w:spacing w:after="0"/>
        <w:rPr>
          <w:sz w:val="20"/>
          <w:szCs w:val="20"/>
        </w:rPr>
      </w:pPr>
      <w:r w:rsidRPr="00F36DBC">
        <w:rPr>
          <w:sz w:val="20"/>
          <w:szCs w:val="20"/>
        </w:rPr>
        <w:t>Turkey’s port of Ceyhan is also the destination for oil exports from northern Iraq in the Kirkuk-</w:t>
      </w:r>
      <w:r w:rsidR="00EA5B2C" w:rsidRPr="00F36DBC">
        <w:rPr>
          <w:sz w:val="20"/>
          <w:szCs w:val="20"/>
        </w:rPr>
        <w:t xml:space="preserve">Ceyhan oil pipeline, thus making Ceyhan a global energy base from which oil is being swiftly delivered to world markets. </w:t>
      </w:r>
      <w:r w:rsidRPr="00F36DBC">
        <w:rPr>
          <w:sz w:val="20"/>
          <w:szCs w:val="20"/>
        </w:rPr>
        <w:t>The 600-mile dual pipeline</w:t>
      </w:r>
      <w:r w:rsidR="00833341" w:rsidRPr="00F36DBC">
        <w:rPr>
          <w:sz w:val="20"/>
          <w:szCs w:val="20"/>
        </w:rPr>
        <w:t xml:space="preserve"> from Iraq to Turkey</w:t>
      </w:r>
      <w:r w:rsidRPr="00F36DBC">
        <w:rPr>
          <w:sz w:val="20"/>
          <w:szCs w:val="20"/>
        </w:rPr>
        <w:t xml:space="preserve"> consists of two parallel lines that have a maximum throughput </w:t>
      </w:r>
      <w:proofErr w:type="gramStart"/>
      <w:r w:rsidRPr="00F36DBC">
        <w:rPr>
          <w:sz w:val="20"/>
          <w:szCs w:val="20"/>
        </w:rPr>
        <w:t>of arou</w:t>
      </w:r>
      <w:r w:rsidR="003E266F" w:rsidRPr="00F36DBC">
        <w:rPr>
          <w:sz w:val="20"/>
          <w:szCs w:val="20"/>
        </w:rPr>
        <w:t xml:space="preserve">nd 1.6 </w:t>
      </w:r>
      <w:r w:rsidRPr="00F36DBC">
        <w:rPr>
          <w:sz w:val="20"/>
          <w:szCs w:val="20"/>
        </w:rPr>
        <w:t>mbbl/d</w:t>
      </w:r>
      <w:proofErr w:type="gramEnd"/>
      <w:r w:rsidRPr="00F36DBC">
        <w:rPr>
          <w:sz w:val="20"/>
          <w:szCs w:val="20"/>
        </w:rPr>
        <w:t>.</w:t>
      </w:r>
    </w:p>
    <w:p w:rsidR="00064CD5" w:rsidRDefault="00326F2E" w:rsidP="004D20FC">
      <w:pPr>
        <w:spacing w:after="0"/>
        <w:jc w:val="center"/>
      </w:pPr>
      <w:r>
        <w:rPr>
          <w:noProof/>
          <w:sz w:val="20"/>
          <w:szCs w:val="20"/>
          <w:lang w:val="tr-TR" w:eastAsia="tr-TR"/>
        </w:rPr>
        <w:drawing>
          <wp:inline distT="0" distB="0" distL="0" distR="0">
            <wp:extent cx="2734945" cy="1532753"/>
            <wp:effectExtent l="19050" t="0" r="8255" b="0"/>
            <wp:docPr id="5" name="Picture 5" descr="Turkey Iraq P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key Iraq Pipline"/>
                    <pic:cNvPicPr>
                      <a:picLocks noChangeAspect="1" noChangeArrowheads="1"/>
                    </pic:cNvPicPr>
                  </pic:nvPicPr>
                  <pic:blipFill>
                    <a:blip r:embed="rId15"/>
                    <a:srcRect/>
                    <a:stretch>
                      <a:fillRect/>
                    </a:stretch>
                  </pic:blipFill>
                  <pic:spPr bwMode="auto">
                    <a:xfrm>
                      <a:off x="0" y="0"/>
                      <a:ext cx="2739719" cy="1535429"/>
                    </a:xfrm>
                    <a:prstGeom prst="rect">
                      <a:avLst/>
                    </a:prstGeom>
                    <a:noFill/>
                    <a:ln w="9525">
                      <a:noFill/>
                      <a:miter lim="800000"/>
                      <a:headEnd/>
                      <a:tailEnd/>
                    </a:ln>
                  </pic:spPr>
                </pic:pic>
              </a:graphicData>
            </a:graphic>
          </wp:inline>
        </w:drawing>
      </w:r>
    </w:p>
    <w:p w:rsidR="00DC44B4" w:rsidRPr="00F36DBC" w:rsidRDefault="00DC44B4" w:rsidP="00E053C0">
      <w:pPr>
        <w:spacing w:after="0"/>
        <w:rPr>
          <w:b/>
          <w:sz w:val="20"/>
          <w:szCs w:val="20"/>
        </w:rPr>
      </w:pPr>
      <w:r w:rsidRPr="00F36DBC">
        <w:rPr>
          <w:rStyle w:val="csssubheading2"/>
          <w:b/>
          <w:sz w:val="20"/>
          <w:szCs w:val="20"/>
        </w:rPr>
        <w:t>Bosporus Bypass Options</w:t>
      </w:r>
    </w:p>
    <w:p w:rsidR="00DC44B4" w:rsidRPr="00F36DBC" w:rsidRDefault="00DC44B4" w:rsidP="00E053C0">
      <w:pPr>
        <w:spacing w:after="0"/>
        <w:rPr>
          <w:sz w:val="20"/>
          <w:szCs w:val="20"/>
        </w:rPr>
      </w:pPr>
      <w:r w:rsidRPr="00F36DBC">
        <w:rPr>
          <w:sz w:val="20"/>
          <w:szCs w:val="20"/>
        </w:rPr>
        <w:t xml:space="preserve">The 17-mile long Bosporus Straits, only a half mile wide at its narrowest point, is one of the world’s busiest shipping lanes. The straits are also increasingly an important oil transit point, with oil tankers bringing shipments from the Black Sea to the Mediterranean for export. The Turkish government has raised concerns that increased oil tanker traffic through the narrow and twisting Bosporus heightens the risk of an oil spill. Exports through the Bosporus have grown substantially since the breakup of the former Soviet Union. To ease increasing oil traffic through the Bosporus Straits, a number of Bosporus bypass options are under consideration in southeastern Europe and Turkey itself. The BTC Pipeline is the first of several bypass projects under consideration over the last decade to have materialized. </w:t>
      </w:r>
    </w:p>
    <w:p w:rsidR="00E053C0" w:rsidRPr="00F36DBC" w:rsidRDefault="00E053C0" w:rsidP="00E053C0">
      <w:pPr>
        <w:spacing w:after="0"/>
        <w:rPr>
          <w:sz w:val="20"/>
          <w:szCs w:val="20"/>
        </w:rPr>
      </w:pPr>
    </w:p>
    <w:p w:rsidR="00FE4418" w:rsidRPr="00F36DBC" w:rsidRDefault="00FE4418" w:rsidP="009E3E83">
      <w:pPr>
        <w:spacing w:after="0"/>
        <w:rPr>
          <w:b/>
          <w:sz w:val="20"/>
          <w:szCs w:val="20"/>
        </w:rPr>
      </w:pPr>
      <w:r w:rsidRPr="00F36DBC">
        <w:rPr>
          <w:b/>
          <w:sz w:val="20"/>
          <w:szCs w:val="20"/>
        </w:rPr>
        <w:t>Samsun-Ceyhan Pipeline</w:t>
      </w:r>
    </w:p>
    <w:p w:rsidR="00824817" w:rsidRPr="00F36DBC" w:rsidRDefault="00DC44B4" w:rsidP="009E3E83">
      <w:pPr>
        <w:spacing w:after="0"/>
        <w:rPr>
          <w:sz w:val="20"/>
          <w:szCs w:val="20"/>
        </w:rPr>
      </w:pPr>
      <w:r w:rsidRPr="00F36DBC">
        <w:rPr>
          <w:sz w:val="20"/>
          <w:szCs w:val="20"/>
        </w:rPr>
        <w:t>Another project currently under cons</w:t>
      </w:r>
      <w:r w:rsidR="009E3E83" w:rsidRPr="00F36DBC">
        <w:rPr>
          <w:sz w:val="20"/>
          <w:szCs w:val="20"/>
        </w:rPr>
        <w:t>truction</w:t>
      </w:r>
      <w:r w:rsidRPr="00F36DBC">
        <w:rPr>
          <w:sz w:val="20"/>
          <w:szCs w:val="20"/>
        </w:rPr>
        <w:t xml:space="preserve"> is the Samsun-Ceyhan bypass, which would transport oil from Turkey’s Black Sea port of Samsun to Ceyhan on the Mediterranean coast. The project is being developed by a 50-50 joint venture between Italy’s </w:t>
      </w:r>
      <w:proofErr w:type="spellStart"/>
      <w:r w:rsidRPr="00F36DBC">
        <w:rPr>
          <w:sz w:val="20"/>
          <w:szCs w:val="20"/>
        </w:rPr>
        <w:t>Eni</w:t>
      </w:r>
      <w:proofErr w:type="spellEnd"/>
      <w:r w:rsidRPr="00F36DBC">
        <w:rPr>
          <w:sz w:val="20"/>
          <w:szCs w:val="20"/>
        </w:rPr>
        <w:t xml:space="preserve"> and Turkey’s </w:t>
      </w:r>
      <w:proofErr w:type="spellStart"/>
      <w:r w:rsidRPr="00F36DBC">
        <w:rPr>
          <w:sz w:val="20"/>
          <w:szCs w:val="20"/>
        </w:rPr>
        <w:t>Calik</w:t>
      </w:r>
      <w:proofErr w:type="spellEnd"/>
      <w:r w:rsidRPr="00F36DBC">
        <w:rPr>
          <w:sz w:val="20"/>
          <w:szCs w:val="20"/>
        </w:rPr>
        <w:t xml:space="preserve"> Energy, called the Trans-</w:t>
      </w:r>
      <w:proofErr w:type="spellStart"/>
      <w:r w:rsidRPr="00F36DBC">
        <w:rPr>
          <w:sz w:val="20"/>
          <w:szCs w:val="20"/>
        </w:rPr>
        <w:t>Anadolu</w:t>
      </w:r>
      <w:proofErr w:type="spellEnd"/>
      <w:r w:rsidRPr="00F36DBC">
        <w:rPr>
          <w:sz w:val="20"/>
          <w:szCs w:val="20"/>
        </w:rPr>
        <w:t xml:space="preserve"> Pipeline Company (TAPPCO), which as of September 2006 holds the only Turkish government license to develop a Bosporus bypass project. </w:t>
      </w:r>
      <w:proofErr w:type="spellStart"/>
      <w:r w:rsidRPr="00F36DBC">
        <w:rPr>
          <w:sz w:val="20"/>
          <w:szCs w:val="20"/>
        </w:rPr>
        <w:t>Eni</w:t>
      </w:r>
      <w:proofErr w:type="spellEnd"/>
      <w:r w:rsidRPr="00F36DBC">
        <w:rPr>
          <w:sz w:val="20"/>
          <w:szCs w:val="20"/>
        </w:rPr>
        <w:t xml:space="preserve"> holds an 18.5 percent interest in the </w:t>
      </w:r>
      <w:proofErr w:type="spellStart"/>
      <w:r w:rsidRPr="00F36DBC">
        <w:rPr>
          <w:sz w:val="20"/>
          <w:szCs w:val="20"/>
        </w:rPr>
        <w:t>Kashagan</w:t>
      </w:r>
      <w:proofErr w:type="spellEnd"/>
      <w:r w:rsidRPr="00F36DBC">
        <w:rPr>
          <w:sz w:val="20"/>
          <w:szCs w:val="20"/>
        </w:rPr>
        <w:t xml:space="preserve"> oil field in the Kazakh section of the Caspian Sea, which would likely be a primary source for the Samsun-Ceyhan pipeline. </w:t>
      </w:r>
    </w:p>
    <w:p w:rsidR="00824817" w:rsidRDefault="00326F2E" w:rsidP="00824817">
      <w:pPr>
        <w:spacing w:after="0"/>
        <w:jc w:val="center"/>
      </w:pPr>
      <w:r>
        <w:rPr>
          <w:noProof/>
          <w:sz w:val="20"/>
          <w:szCs w:val="20"/>
          <w:lang w:val="tr-TR" w:eastAsia="tr-TR"/>
        </w:rPr>
        <w:drawing>
          <wp:inline distT="0" distB="0" distL="0" distR="0">
            <wp:extent cx="3559419" cy="2615100"/>
            <wp:effectExtent l="19050" t="0" r="293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580281" cy="2630427"/>
                    </a:xfrm>
                    <a:prstGeom prst="rect">
                      <a:avLst/>
                    </a:prstGeom>
                    <a:noFill/>
                    <a:ln w="9525">
                      <a:noFill/>
                      <a:miter lim="800000"/>
                      <a:headEnd/>
                      <a:tailEnd/>
                    </a:ln>
                  </pic:spPr>
                </pic:pic>
              </a:graphicData>
            </a:graphic>
          </wp:inline>
        </w:drawing>
      </w:r>
    </w:p>
    <w:p w:rsidR="00457F40" w:rsidRPr="00457F40" w:rsidRDefault="00AA632F" w:rsidP="00F36DBC">
      <w:pPr>
        <w:spacing w:after="0"/>
        <w:ind w:firstLine="720"/>
        <w:rPr>
          <w:b/>
          <w:i/>
          <w:sz w:val="16"/>
          <w:szCs w:val="16"/>
        </w:rPr>
      </w:pPr>
      <w:r>
        <w:rPr>
          <w:b/>
          <w:i/>
          <w:sz w:val="16"/>
          <w:szCs w:val="16"/>
        </w:rPr>
        <w:t xml:space="preserve">                                     </w:t>
      </w:r>
      <w:r w:rsidR="00457F40" w:rsidRPr="00457F40">
        <w:rPr>
          <w:b/>
          <w:i/>
          <w:sz w:val="16"/>
          <w:szCs w:val="16"/>
        </w:rPr>
        <w:t xml:space="preserve">Source: </w:t>
      </w:r>
      <w:r w:rsidR="00457F40" w:rsidRPr="00457F40">
        <w:rPr>
          <w:sz w:val="16"/>
          <w:szCs w:val="16"/>
        </w:rPr>
        <w:t>EIA</w:t>
      </w:r>
    </w:p>
    <w:p w:rsidR="009E3E83" w:rsidRPr="00F36DBC" w:rsidRDefault="009E3E83" w:rsidP="009E3E83">
      <w:pPr>
        <w:spacing w:after="0"/>
        <w:rPr>
          <w:sz w:val="20"/>
          <w:szCs w:val="20"/>
        </w:rPr>
      </w:pPr>
      <w:r w:rsidRPr="00F36DBC">
        <w:rPr>
          <w:sz w:val="20"/>
          <w:szCs w:val="20"/>
        </w:rPr>
        <w:lastRenderedPageBreak/>
        <w:t>The Samsun-Ceyhan oil transportation system consists of the following main components:</w:t>
      </w:r>
    </w:p>
    <w:p w:rsidR="009E3E83" w:rsidRPr="00F36DBC" w:rsidRDefault="009E3E83" w:rsidP="009E3E83">
      <w:pPr>
        <w:spacing w:after="0"/>
        <w:rPr>
          <w:sz w:val="20"/>
          <w:szCs w:val="20"/>
        </w:rPr>
      </w:pPr>
    </w:p>
    <w:p w:rsidR="009E3E83" w:rsidRPr="00F36DBC" w:rsidRDefault="009E3E83" w:rsidP="009E3E83">
      <w:pPr>
        <w:numPr>
          <w:ilvl w:val="0"/>
          <w:numId w:val="14"/>
        </w:numPr>
        <w:spacing w:after="0"/>
        <w:rPr>
          <w:sz w:val="20"/>
          <w:szCs w:val="20"/>
        </w:rPr>
      </w:pPr>
      <w:r w:rsidRPr="00F36DBC">
        <w:rPr>
          <w:sz w:val="20"/>
          <w:szCs w:val="20"/>
        </w:rPr>
        <w:t>New unloading terminal and tank farm close to Samsun;</w:t>
      </w:r>
    </w:p>
    <w:p w:rsidR="009E3E83" w:rsidRPr="00F36DBC" w:rsidRDefault="009E3E83" w:rsidP="009E3E83">
      <w:pPr>
        <w:numPr>
          <w:ilvl w:val="0"/>
          <w:numId w:val="14"/>
        </w:numPr>
        <w:spacing w:after="0"/>
        <w:rPr>
          <w:sz w:val="20"/>
          <w:szCs w:val="20"/>
        </w:rPr>
      </w:pPr>
      <w:r w:rsidRPr="00F36DBC">
        <w:rPr>
          <w:sz w:val="20"/>
          <w:szCs w:val="20"/>
        </w:rPr>
        <w:t>Pipeline from the area east of Samsun to Ceyhan (partly following the BTC corridor) and relevant pump/reducing stations;</w:t>
      </w:r>
    </w:p>
    <w:p w:rsidR="009E3E83" w:rsidRPr="00F36DBC" w:rsidRDefault="009E3E83" w:rsidP="009E3E83">
      <w:pPr>
        <w:numPr>
          <w:ilvl w:val="0"/>
          <w:numId w:val="14"/>
        </w:numPr>
        <w:spacing w:after="0"/>
        <w:rPr>
          <w:sz w:val="20"/>
          <w:szCs w:val="20"/>
        </w:rPr>
      </w:pPr>
      <w:r w:rsidRPr="00F36DBC">
        <w:rPr>
          <w:sz w:val="20"/>
          <w:szCs w:val="20"/>
        </w:rPr>
        <w:t>Connection with existing Ceyhan loading terminal and additional storage capacity.</w:t>
      </w:r>
    </w:p>
    <w:p w:rsidR="009E3E83" w:rsidRPr="00F36DBC" w:rsidRDefault="009E3E83" w:rsidP="009E3E83">
      <w:pPr>
        <w:spacing w:after="0"/>
        <w:ind w:left="720"/>
        <w:rPr>
          <w:sz w:val="20"/>
          <w:szCs w:val="20"/>
        </w:rPr>
      </w:pPr>
    </w:p>
    <w:p w:rsidR="009E3E83" w:rsidRPr="00F36DBC" w:rsidRDefault="009E3E83" w:rsidP="009E3E83">
      <w:pPr>
        <w:spacing w:after="0"/>
        <w:rPr>
          <w:sz w:val="20"/>
          <w:szCs w:val="20"/>
        </w:rPr>
      </w:pPr>
      <w:r w:rsidRPr="00F36DBC">
        <w:rPr>
          <w:sz w:val="20"/>
          <w:szCs w:val="20"/>
        </w:rPr>
        <w:t xml:space="preserve">The pipeline system transportation capacity is envisaged to be </w:t>
      </w:r>
      <w:proofErr w:type="gramStart"/>
      <w:r w:rsidRPr="00F36DBC">
        <w:rPr>
          <w:sz w:val="20"/>
          <w:szCs w:val="20"/>
        </w:rPr>
        <w:t>not less than 1,000,000 bbl/d</w:t>
      </w:r>
      <w:proofErr w:type="gramEnd"/>
      <w:r w:rsidRPr="00F36DBC">
        <w:rPr>
          <w:sz w:val="20"/>
          <w:szCs w:val="20"/>
        </w:rPr>
        <w:t xml:space="preserve">. The design capacity is </w:t>
      </w:r>
      <w:proofErr w:type="gramStart"/>
      <w:r w:rsidRPr="00F36DBC">
        <w:rPr>
          <w:sz w:val="20"/>
          <w:szCs w:val="20"/>
        </w:rPr>
        <w:t>1,500,000 bbl/d</w:t>
      </w:r>
      <w:proofErr w:type="gramEnd"/>
      <w:r w:rsidRPr="00F36DBC">
        <w:rPr>
          <w:sz w:val="20"/>
          <w:szCs w:val="20"/>
        </w:rPr>
        <w:t>.</w:t>
      </w:r>
    </w:p>
    <w:p w:rsidR="009E3E83" w:rsidRPr="00F36DBC" w:rsidRDefault="009E3E83" w:rsidP="009E3E83">
      <w:pPr>
        <w:spacing w:after="0"/>
        <w:rPr>
          <w:sz w:val="20"/>
          <w:szCs w:val="20"/>
        </w:rPr>
      </w:pPr>
    </w:p>
    <w:p w:rsidR="009E3E83" w:rsidRPr="00F36DBC" w:rsidRDefault="009E3E83" w:rsidP="009E3E83">
      <w:pPr>
        <w:spacing w:after="0"/>
        <w:rPr>
          <w:sz w:val="20"/>
          <w:szCs w:val="20"/>
        </w:rPr>
      </w:pPr>
      <w:r w:rsidRPr="00F36DBC">
        <w:rPr>
          <w:sz w:val="20"/>
          <w:szCs w:val="20"/>
        </w:rPr>
        <w:t>Compared to other by-pass alternatives, the Project offers the following advantages:</w:t>
      </w:r>
    </w:p>
    <w:p w:rsidR="00FE4418" w:rsidRPr="00F36DBC" w:rsidRDefault="00FE4418" w:rsidP="009E3E83">
      <w:pPr>
        <w:numPr>
          <w:ilvl w:val="0"/>
          <w:numId w:val="15"/>
        </w:numPr>
        <w:spacing w:after="0"/>
        <w:rPr>
          <w:sz w:val="20"/>
          <w:szCs w:val="20"/>
        </w:rPr>
      </w:pPr>
      <w:r w:rsidRPr="00F36DBC">
        <w:rPr>
          <w:sz w:val="20"/>
          <w:szCs w:val="20"/>
        </w:rPr>
        <w:t>I</w:t>
      </w:r>
      <w:r w:rsidR="009E3E83" w:rsidRPr="00F36DBC">
        <w:rPr>
          <w:sz w:val="20"/>
          <w:szCs w:val="20"/>
        </w:rPr>
        <w:t>t will benefit from synergies with existing Turkish facilitie</w:t>
      </w:r>
      <w:r w:rsidRPr="00F36DBC">
        <w:rPr>
          <w:sz w:val="20"/>
          <w:szCs w:val="20"/>
        </w:rPr>
        <w:t xml:space="preserve">s; </w:t>
      </w:r>
      <w:r w:rsidR="009E3E83" w:rsidRPr="00F36DBC">
        <w:rPr>
          <w:sz w:val="20"/>
          <w:szCs w:val="20"/>
        </w:rPr>
        <w:t xml:space="preserve">from </w:t>
      </w:r>
      <w:proofErr w:type="spellStart"/>
      <w:r w:rsidR="009E3E83" w:rsidRPr="00F36DBC">
        <w:rPr>
          <w:sz w:val="20"/>
          <w:szCs w:val="20"/>
        </w:rPr>
        <w:t>Sariz</w:t>
      </w:r>
      <w:proofErr w:type="spellEnd"/>
      <w:r w:rsidR="009E3E83" w:rsidRPr="00F36DBC">
        <w:rPr>
          <w:sz w:val="20"/>
          <w:szCs w:val="20"/>
        </w:rPr>
        <w:t xml:space="preserve"> to Ceyhan the pipeline will follow BTC’s right of way;</w:t>
      </w:r>
      <w:r w:rsidRPr="00F36DBC">
        <w:rPr>
          <w:sz w:val="20"/>
          <w:szCs w:val="20"/>
        </w:rPr>
        <w:t xml:space="preserve"> </w:t>
      </w:r>
      <w:r w:rsidR="009E3E83" w:rsidRPr="00F36DBC">
        <w:rPr>
          <w:sz w:val="20"/>
          <w:szCs w:val="20"/>
        </w:rPr>
        <w:t>Crude oil will be delivered to the existing Ceyhan Loading</w:t>
      </w:r>
      <w:r w:rsidRPr="00F36DBC">
        <w:rPr>
          <w:sz w:val="20"/>
          <w:szCs w:val="20"/>
        </w:rPr>
        <w:t xml:space="preserve"> </w:t>
      </w:r>
      <w:r w:rsidR="009E3E83" w:rsidRPr="00F36DBC">
        <w:rPr>
          <w:sz w:val="20"/>
          <w:szCs w:val="20"/>
        </w:rPr>
        <w:t>Terminal, which could be exploited at full capacity.</w:t>
      </w:r>
    </w:p>
    <w:p w:rsidR="00FE4418" w:rsidRPr="00F36DBC" w:rsidRDefault="009E3E83" w:rsidP="009E3E83">
      <w:pPr>
        <w:numPr>
          <w:ilvl w:val="0"/>
          <w:numId w:val="15"/>
        </w:numPr>
        <w:spacing w:after="0"/>
        <w:rPr>
          <w:sz w:val="20"/>
          <w:szCs w:val="20"/>
        </w:rPr>
      </w:pPr>
      <w:r w:rsidRPr="00F36DBC">
        <w:rPr>
          <w:sz w:val="20"/>
          <w:szCs w:val="20"/>
        </w:rPr>
        <w:t>The route runs only across Turkey, and no intergovernmental agreement should be put in place.</w:t>
      </w:r>
      <w:r w:rsidR="00FE4418" w:rsidRPr="00F36DBC">
        <w:rPr>
          <w:sz w:val="20"/>
          <w:szCs w:val="20"/>
        </w:rPr>
        <w:t xml:space="preserve"> </w:t>
      </w:r>
      <w:r w:rsidRPr="00F36DBC">
        <w:rPr>
          <w:sz w:val="20"/>
          <w:szCs w:val="20"/>
        </w:rPr>
        <w:t>Both unloading (Samsun) and loading (Ceyhan) terminals will</w:t>
      </w:r>
      <w:r w:rsidR="00FE4418" w:rsidRPr="00F36DBC">
        <w:rPr>
          <w:sz w:val="20"/>
          <w:szCs w:val="20"/>
        </w:rPr>
        <w:t xml:space="preserve"> </w:t>
      </w:r>
      <w:r w:rsidRPr="00F36DBC">
        <w:rPr>
          <w:sz w:val="20"/>
          <w:szCs w:val="20"/>
        </w:rPr>
        <w:t>allow use of VLCC tankers.</w:t>
      </w:r>
    </w:p>
    <w:p w:rsidR="00FE4418" w:rsidRPr="00F36DBC" w:rsidRDefault="009E3E83" w:rsidP="009E3E83">
      <w:pPr>
        <w:numPr>
          <w:ilvl w:val="0"/>
          <w:numId w:val="15"/>
        </w:numPr>
        <w:spacing w:after="0"/>
        <w:rPr>
          <w:sz w:val="20"/>
          <w:szCs w:val="20"/>
        </w:rPr>
      </w:pPr>
      <w:r w:rsidRPr="00F36DBC">
        <w:rPr>
          <w:sz w:val="20"/>
          <w:szCs w:val="20"/>
        </w:rPr>
        <w:t xml:space="preserve">The selected route represents the shortest </w:t>
      </w:r>
      <w:r w:rsidR="00FE4418" w:rsidRPr="00F36DBC">
        <w:rPr>
          <w:sz w:val="20"/>
          <w:szCs w:val="20"/>
        </w:rPr>
        <w:t xml:space="preserve">transshipment </w:t>
      </w:r>
      <w:r w:rsidRPr="00F36DBC">
        <w:rPr>
          <w:sz w:val="20"/>
          <w:szCs w:val="20"/>
        </w:rPr>
        <w:t>distance in the Black Sea, with consequent time and cost</w:t>
      </w:r>
      <w:r w:rsidR="00FE4418" w:rsidRPr="00F36DBC">
        <w:rPr>
          <w:sz w:val="20"/>
          <w:szCs w:val="20"/>
        </w:rPr>
        <w:t xml:space="preserve"> </w:t>
      </w:r>
      <w:r w:rsidRPr="00F36DBC">
        <w:rPr>
          <w:sz w:val="20"/>
          <w:szCs w:val="20"/>
        </w:rPr>
        <w:t>savings.</w:t>
      </w:r>
    </w:p>
    <w:p w:rsidR="009E3E83" w:rsidRPr="00F36DBC" w:rsidRDefault="009E3E83" w:rsidP="009E3E83">
      <w:pPr>
        <w:numPr>
          <w:ilvl w:val="0"/>
          <w:numId w:val="15"/>
        </w:numPr>
        <w:spacing w:after="0"/>
        <w:rPr>
          <w:sz w:val="20"/>
          <w:szCs w:val="20"/>
        </w:rPr>
      </w:pPr>
      <w:r w:rsidRPr="00F36DBC">
        <w:rPr>
          <w:sz w:val="20"/>
          <w:szCs w:val="20"/>
        </w:rPr>
        <w:t>The environmental conditions along the route, as well as appropriate mitigation actions, are well known. Furthermore the pipeline runs in a scarcely populated area, and partly along the</w:t>
      </w:r>
      <w:r w:rsidR="00FE4418" w:rsidRPr="00F36DBC">
        <w:rPr>
          <w:sz w:val="20"/>
          <w:szCs w:val="20"/>
        </w:rPr>
        <w:t xml:space="preserve"> </w:t>
      </w:r>
      <w:r w:rsidRPr="00F36DBC">
        <w:rPr>
          <w:sz w:val="20"/>
          <w:szCs w:val="20"/>
        </w:rPr>
        <w:t>BTC corridor, and this will facilitate/expedite the land acquisition</w:t>
      </w:r>
      <w:r w:rsidR="00FE4418" w:rsidRPr="00F36DBC">
        <w:rPr>
          <w:sz w:val="20"/>
          <w:szCs w:val="20"/>
        </w:rPr>
        <w:t xml:space="preserve"> </w:t>
      </w:r>
      <w:r w:rsidRPr="00F36DBC">
        <w:rPr>
          <w:sz w:val="20"/>
          <w:szCs w:val="20"/>
        </w:rPr>
        <w:t>as well as the construction activities.</w:t>
      </w:r>
    </w:p>
    <w:p w:rsidR="00DC44B4" w:rsidRPr="00F36DBC" w:rsidRDefault="00CB3D6A" w:rsidP="009E3E83">
      <w:pPr>
        <w:spacing w:after="0"/>
        <w:rPr>
          <w:rStyle w:val="Hyperlink"/>
          <w:sz w:val="20"/>
          <w:szCs w:val="20"/>
        </w:rPr>
      </w:pPr>
      <w:r w:rsidRPr="00F36DBC">
        <w:rPr>
          <w:sz w:val="20"/>
          <w:szCs w:val="20"/>
        </w:rPr>
        <w:fldChar w:fldCharType="begin"/>
      </w:r>
      <w:r w:rsidR="00DC44B4" w:rsidRPr="00F36DBC">
        <w:rPr>
          <w:sz w:val="20"/>
          <w:szCs w:val="20"/>
        </w:rPr>
        <w:instrText xml:space="preserve"> HYPERLINK "http://www.eia.doe.gov/emeu/cabs/Turkey/images/bosporus%20bypass%20map.pdf" </w:instrText>
      </w:r>
      <w:r w:rsidRPr="00F36DBC">
        <w:rPr>
          <w:sz w:val="20"/>
          <w:szCs w:val="20"/>
        </w:rPr>
        <w:fldChar w:fldCharType="separate"/>
      </w:r>
    </w:p>
    <w:p w:rsidR="00CD5FC3" w:rsidRDefault="00CB3D6A" w:rsidP="00E053C0">
      <w:pPr>
        <w:spacing w:after="0"/>
        <w:rPr>
          <w:sz w:val="20"/>
          <w:szCs w:val="20"/>
        </w:rPr>
      </w:pPr>
      <w:r w:rsidRPr="00F36DBC">
        <w:rPr>
          <w:sz w:val="20"/>
          <w:szCs w:val="20"/>
        </w:rPr>
        <w:fldChar w:fldCharType="end"/>
      </w:r>
    </w:p>
    <w:p w:rsidR="00DC44B4" w:rsidRPr="00F36DBC" w:rsidRDefault="00DC44B4" w:rsidP="00E053C0">
      <w:pPr>
        <w:spacing w:after="0"/>
        <w:rPr>
          <w:b/>
          <w:sz w:val="20"/>
          <w:szCs w:val="20"/>
        </w:rPr>
      </w:pPr>
      <w:r w:rsidRPr="00F36DBC">
        <w:rPr>
          <w:rStyle w:val="csssubheading1"/>
          <w:b/>
          <w:sz w:val="20"/>
          <w:szCs w:val="20"/>
        </w:rPr>
        <w:t>Downstream</w:t>
      </w:r>
    </w:p>
    <w:p w:rsidR="00F06ECF" w:rsidRDefault="00973E1E" w:rsidP="00E053C0">
      <w:pPr>
        <w:spacing w:after="0"/>
        <w:rPr>
          <w:sz w:val="20"/>
          <w:szCs w:val="20"/>
        </w:rPr>
      </w:pPr>
      <w:r>
        <w:rPr>
          <w:sz w:val="20"/>
          <w:szCs w:val="20"/>
        </w:rPr>
        <w:t>TUPRAS</w:t>
      </w:r>
      <w:r w:rsidR="00DC44B4" w:rsidRPr="00F36DBC">
        <w:rPr>
          <w:sz w:val="20"/>
          <w:szCs w:val="20"/>
        </w:rPr>
        <w:t xml:space="preserve"> is the leading refiner in Turkey,</w:t>
      </w:r>
      <w:r w:rsidR="00B02028">
        <w:rPr>
          <w:sz w:val="20"/>
          <w:szCs w:val="20"/>
        </w:rPr>
        <w:t xml:space="preserve"> with an 542 thousands bbl/d (28</w:t>
      </w:r>
      <w:proofErr w:type="gramStart"/>
      <w:r w:rsidR="00B02028">
        <w:rPr>
          <w:sz w:val="20"/>
          <w:szCs w:val="20"/>
        </w:rPr>
        <w:t>,1</w:t>
      </w:r>
      <w:proofErr w:type="gramEnd"/>
      <w:r w:rsidR="00B02028">
        <w:rPr>
          <w:sz w:val="20"/>
          <w:szCs w:val="20"/>
        </w:rPr>
        <w:t xml:space="preserve"> million ton/year) of crude oil refinery capacity. </w:t>
      </w:r>
      <w:r w:rsidR="00DC44B4" w:rsidRPr="00F36DBC">
        <w:rPr>
          <w:sz w:val="20"/>
          <w:szCs w:val="20"/>
        </w:rPr>
        <w:t xml:space="preserve"> </w:t>
      </w:r>
      <w:r w:rsidR="00B02028">
        <w:rPr>
          <w:sz w:val="20"/>
          <w:szCs w:val="20"/>
        </w:rPr>
        <w:t>It</w:t>
      </w:r>
      <w:r w:rsidR="00DC44B4" w:rsidRPr="00F36DBC">
        <w:rPr>
          <w:sz w:val="20"/>
          <w:szCs w:val="20"/>
        </w:rPr>
        <w:t xml:space="preserve"> operates three large refining complexes at </w:t>
      </w:r>
      <w:proofErr w:type="spellStart"/>
      <w:r w:rsidR="00DC44B4" w:rsidRPr="00F36DBC">
        <w:rPr>
          <w:sz w:val="20"/>
          <w:szCs w:val="20"/>
        </w:rPr>
        <w:t>Aliaga</w:t>
      </w:r>
      <w:proofErr w:type="spellEnd"/>
      <w:r w:rsidR="00DC44B4" w:rsidRPr="00F36DBC">
        <w:rPr>
          <w:sz w:val="20"/>
          <w:szCs w:val="20"/>
        </w:rPr>
        <w:t xml:space="preserve"> near Izmir (</w:t>
      </w:r>
      <w:r w:rsidR="00B02028">
        <w:rPr>
          <w:sz w:val="20"/>
          <w:szCs w:val="20"/>
        </w:rPr>
        <w:t>212,863</w:t>
      </w:r>
      <w:r w:rsidR="00DC44B4" w:rsidRPr="00F36DBC">
        <w:rPr>
          <w:sz w:val="20"/>
          <w:szCs w:val="20"/>
        </w:rPr>
        <w:t xml:space="preserve"> bbl/d capacity)</w:t>
      </w:r>
      <w:r w:rsidR="00B02028">
        <w:rPr>
          <w:sz w:val="20"/>
          <w:szCs w:val="20"/>
        </w:rPr>
        <w:t xml:space="preserve">, </w:t>
      </w:r>
      <w:proofErr w:type="spellStart"/>
      <w:r w:rsidR="00B02028">
        <w:rPr>
          <w:sz w:val="20"/>
          <w:szCs w:val="20"/>
        </w:rPr>
        <w:t>Izmit</w:t>
      </w:r>
      <w:proofErr w:type="spellEnd"/>
      <w:r w:rsidR="00B02028">
        <w:rPr>
          <w:sz w:val="20"/>
          <w:szCs w:val="20"/>
        </w:rPr>
        <w:t xml:space="preserve"> (212,863 bbl/d), and </w:t>
      </w:r>
      <w:proofErr w:type="spellStart"/>
      <w:r w:rsidR="00B02028">
        <w:rPr>
          <w:sz w:val="20"/>
          <w:szCs w:val="20"/>
        </w:rPr>
        <w:t>Kirikkale</w:t>
      </w:r>
      <w:proofErr w:type="spellEnd"/>
      <w:r w:rsidR="00B02028">
        <w:rPr>
          <w:sz w:val="20"/>
          <w:szCs w:val="20"/>
        </w:rPr>
        <w:t xml:space="preserve"> (96,301</w:t>
      </w:r>
      <w:r w:rsidR="00DC44B4" w:rsidRPr="00F36DBC">
        <w:rPr>
          <w:sz w:val="20"/>
          <w:szCs w:val="20"/>
        </w:rPr>
        <w:t xml:space="preserve"> bbl/d) as well as </w:t>
      </w:r>
      <w:r w:rsidR="00B02028">
        <w:rPr>
          <w:sz w:val="20"/>
          <w:szCs w:val="20"/>
        </w:rPr>
        <w:t>a smaller facility at Batman (21,186</w:t>
      </w:r>
      <w:r w:rsidR="00DC44B4" w:rsidRPr="00F36DBC">
        <w:rPr>
          <w:sz w:val="20"/>
          <w:szCs w:val="20"/>
        </w:rPr>
        <w:t xml:space="preserve"> bbl/d).</w:t>
      </w:r>
      <w:r w:rsidR="00F06ECF">
        <w:rPr>
          <w:sz w:val="20"/>
          <w:szCs w:val="20"/>
        </w:rPr>
        <w:t xml:space="preserve"> </w:t>
      </w:r>
      <w:r w:rsidR="00F06ECF" w:rsidRPr="00F36DBC">
        <w:rPr>
          <w:sz w:val="20"/>
          <w:szCs w:val="20"/>
        </w:rPr>
        <w:t xml:space="preserve">A joint venture of </w:t>
      </w:r>
      <w:proofErr w:type="spellStart"/>
      <w:r w:rsidR="00F06ECF" w:rsidRPr="00F36DBC">
        <w:rPr>
          <w:sz w:val="20"/>
          <w:szCs w:val="20"/>
        </w:rPr>
        <w:t>Calik</w:t>
      </w:r>
      <w:proofErr w:type="spellEnd"/>
      <w:r w:rsidR="00F06ECF" w:rsidRPr="00F36DBC">
        <w:rPr>
          <w:sz w:val="20"/>
          <w:szCs w:val="20"/>
        </w:rPr>
        <w:t xml:space="preserve"> Energy and Indian Oil Company (IOC) has </w:t>
      </w:r>
      <w:r w:rsidR="00F06ECF">
        <w:rPr>
          <w:sz w:val="20"/>
          <w:szCs w:val="20"/>
        </w:rPr>
        <w:t xml:space="preserve">been granted refinery license in December 2007; </w:t>
      </w:r>
      <w:r w:rsidR="005E01C7">
        <w:rPr>
          <w:sz w:val="20"/>
          <w:szCs w:val="20"/>
        </w:rPr>
        <w:t>the join</w:t>
      </w:r>
      <w:r w:rsidR="004B771D">
        <w:rPr>
          <w:sz w:val="20"/>
          <w:szCs w:val="20"/>
        </w:rPr>
        <w:t>t</w:t>
      </w:r>
      <w:r w:rsidR="005E01C7">
        <w:rPr>
          <w:sz w:val="20"/>
          <w:szCs w:val="20"/>
        </w:rPr>
        <w:t xml:space="preserve"> venture is called “</w:t>
      </w:r>
      <w:proofErr w:type="spellStart"/>
      <w:r w:rsidR="005E01C7">
        <w:rPr>
          <w:sz w:val="20"/>
          <w:szCs w:val="20"/>
        </w:rPr>
        <w:t>Dog</w:t>
      </w:r>
      <w:r w:rsidR="005E01C7" w:rsidRPr="005E01C7">
        <w:rPr>
          <w:sz w:val="20"/>
          <w:szCs w:val="20"/>
        </w:rPr>
        <w:t>u</w:t>
      </w:r>
      <w:proofErr w:type="spellEnd"/>
      <w:r w:rsidR="005E01C7" w:rsidRPr="005E01C7">
        <w:rPr>
          <w:sz w:val="20"/>
          <w:szCs w:val="20"/>
        </w:rPr>
        <w:t xml:space="preserve"> </w:t>
      </w:r>
      <w:proofErr w:type="spellStart"/>
      <w:r w:rsidR="005E01C7" w:rsidRPr="005E01C7">
        <w:rPr>
          <w:sz w:val="20"/>
          <w:szCs w:val="20"/>
        </w:rPr>
        <w:t>Akdeniz</w:t>
      </w:r>
      <w:proofErr w:type="spellEnd"/>
      <w:r w:rsidR="005E01C7" w:rsidRPr="005E01C7">
        <w:rPr>
          <w:sz w:val="20"/>
          <w:szCs w:val="20"/>
        </w:rPr>
        <w:t xml:space="preserve"> </w:t>
      </w:r>
      <w:proofErr w:type="spellStart"/>
      <w:r w:rsidR="005E01C7" w:rsidRPr="005E01C7">
        <w:rPr>
          <w:sz w:val="20"/>
          <w:szCs w:val="20"/>
        </w:rPr>
        <w:t>Petrokimya</w:t>
      </w:r>
      <w:proofErr w:type="spellEnd"/>
      <w:r w:rsidR="005E01C7" w:rsidRPr="005E01C7">
        <w:rPr>
          <w:sz w:val="20"/>
          <w:szCs w:val="20"/>
        </w:rPr>
        <w:t xml:space="preserve"> ve </w:t>
      </w:r>
      <w:proofErr w:type="spellStart"/>
      <w:r w:rsidR="005E01C7" w:rsidRPr="005E01C7">
        <w:rPr>
          <w:sz w:val="20"/>
          <w:szCs w:val="20"/>
        </w:rPr>
        <w:t>Raf</w:t>
      </w:r>
      <w:r w:rsidR="005E01C7">
        <w:rPr>
          <w:sz w:val="20"/>
          <w:szCs w:val="20"/>
        </w:rPr>
        <w:t>ineri</w:t>
      </w:r>
      <w:proofErr w:type="spellEnd"/>
      <w:r w:rsidR="005E01C7">
        <w:rPr>
          <w:sz w:val="20"/>
          <w:szCs w:val="20"/>
        </w:rPr>
        <w:t xml:space="preserve"> </w:t>
      </w:r>
      <w:proofErr w:type="spellStart"/>
      <w:r w:rsidR="005E01C7">
        <w:rPr>
          <w:sz w:val="20"/>
          <w:szCs w:val="20"/>
        </w:rPr>
        <w:t>Sanayi</w:t>
      </w:r>
      <w:proofErr w:type="spellEnd"/>
      <w:r w:rsidR="005E01C7">
        <w:rPr>
          <w:sz w:val="20"/>
          <w:szCs w:val="20"/>
        </w:rPr>
        <w:t xml:space="preserve"> ve </w:t>
      </w:r>
      <w:proofErr w:type="spellStart"/>
      <w:r w:rsidR="005E01C7">
        <w:rPr>
          <w:sz w:val="20"/>
          <w:szCs w:val="20"/>
        </w:rPr>
        <w:t>Ticaret</w:t>
      </w:r>
      <w:proofErr w:type="spellEnd"/>
      <w:r w:rsidR="005E01C7">
        <w:rPr>
          <w:sz w:val="20"/>
          <w:szCs w:val="20"/>
        </w:rPr>
        <w:t xml:space="preserve"> </w:t>
      </w:r>
      <w:proofErr w:type="spellStart"/>
      <w:r w:rsidR="005E01C7">
        <w:rPr>
          <w:sz w:val="20"/>
          <w:szCs w:val="20"/>
        </w:rPr>
        <w:t>Anonim</w:t>
      </w:r>
      <w:proofErr w:type="spellEnd"/>
      <w:r w:rsidR="005E01C7">
        <w:rPr>
          <w:sz w:val="20"/>
          <w:szCs w:val="20"/>
        </w:rPr>
        <w:t xml:space="preserve"> </w:t>
      </w:r>
      <w:proofErr w:type="spellStart"/>
      <w:r w:rsidR="005E01C7">
        <w:rPr>
          <w:sz w:val="20"/>
          <w:szCs w:val="20"/>
        </w:rPr>
        <w:t>S</w:t>
      </w:r>
      <w:r w:rsidR="005E01C7" w:rsidRPr="005E01C7">
        <w:rPr>
          <w:sz w:val="20"/>
          <w:szCs w:val="20"/>
        </w:rPr>
        <w:t>irketi</w:t>
      </w:r>
      <w:proofErr w:type="spellEnd"/>
      <w:r w:rsidR="005E01C7">
        <w:rPr>
          <w:sz w:val="20"/>
          <w:szCs w:val="20"/>
        </w:rPr>
        <w:t>” which proposed</w:t>
      </w:r>
      <w:r w:rsidR="00F06ECF" w:rsidRPr="00F36DBC">
        <w:rPr>
          <w:sz w:val="20"/>
          <w:szCs w:val="20"/>
        </w:rPr>
        <w:t xml:space="preserve"> the construction of a 300,000-bbl/d refining and petrochemical complex at Ceyhan, at a reported cost of $4.5 billion</w:t>
      </w:r>
      <w:r w:rsidR="005E01C7">
        <w:rPr>
          <w:sz w:val="20"/>
          <w:szCs w:val="20"/>
        </w:rPr>
        <w:t xml:space="preserve">. </w:t>
      </w:r>
    </w:p>
    <w:p w:rsidR="00F06ECF" w:rsidRDefault="00F06ECF" w:rsidP="00E053C0">
      <w:pPr>
        <w:spacing w:after="0"/>
        <w:rPr>
          <w:sz w:val="20"/>
          <w:szCs w:val="20"/>
        </w:rPr>
      </w:pPr>
    </w:p>
    <w:p w:rsidR="00DC44B4" w:rsidRPr="00F36DBC" w:rsidRDefault="00DC44B4" w:rsidP="00E053C0">
      <w:pPr>
        <w:spacing w:after="0"/>
        <w:rPr>
          <w:sz w:val="20"/>
          <w:szCs w:val="20"/>
        </w:rPr>
      </w:pPr>
      <w:r w:rsidRPr="00F36DBC">
        <w:rPr>
          <w:sz w:val="20"/>
          <w:szCs w:val="20"/>
        </w:rPr>
        <w:t>Several companies are considering new refinery projects in Turkey, reflecting the country’s emerging status as a regional energy hu</w:t>
      </w:r>
      <w:r w:rsidR="005E01C7">
        <w:rPr>
          <w:sz w:val="20"/>
          <w:szCs w:val="20"/>
        </w:rPr>
        <w:t>b</w:t>
      </w:r>
      <w:r w:rsidRPr="00F36DBC">
        <w:rPr>
          <w:sz w:val="20"/>
          <w:szCs w:val="20"/>
        </w:rPr>
        <w:t xml:space="preserve">. Petrol </w:t>
      </w:r>
      <w:proofErr w:type="spellStart"/>
      <w:r w:rsidRPr="00F36DBC">
        <w:rPr>
          <w:sz w:val="20"/>
          <w:szCs w:val="20"/>
        </w:rPr>
        <w:t>Ofisi</w:t>
      </w:r>
      <w:proofErr w:type="spellEnd"/>
      <w:r w:rsidRPr="00F36DBC">
        <w:rPr>
          <w:sz w:val="20"/>
          <w:szCs w:val="20"/>
        </w:rPr>
        <w:t xml:space="preserve"> AS (POAS) has proposed the building of a $2 billion, 200,000-bbl/d facility</w:t>
      </w:r>
      <w:r w:rsidR="005E01C7">
        <w:rPr>
          <w:sz w:val="20"/>
          <w:szCs w:val="20"/>
        </w:rPr>
        <w:t xml:space="preserve"> in Ceyhan</w:t>
      </w:r>
      <w:r w:rsidRPr="00F36DBC">
        <w:rPr>
          <w:sz w:val="20"/>
          <w:szCs w:val="20"/>
        </w:rPr>
        <w:t xml:space="preserve">. Russia’s </w:t>
      </w:r>
      <w:proofErr w:type="spellStart"/>
      <w:r w:rsidRPr="00F36DBC">
        <w:rPr>
          <w:sz w:val="20"/>
          <w:szCs w:val="20"/>
        </w:rPr>
        <w:t>Lukoil</w:t>
      </w:r>
      <w:proofErr w:type="spellEnd"/>
      <w:r w:rsidRPr="00F36DBC">
        <w:rPr>
          <w:sz w:val="20"/>
          <w:szCs w:val="20"/>
        </w:rPr>
        <w:t xml:space="preserve"> is currently drafting a feasibility study for a possible plant along Turkey’s Black Sea coast. Although the plans are tentative, media reports suggest that the site would be either Samsun or Zonguldak, and have a capacity between 160,000 and </w:t>
      </w:r>
      <w:proofErr w:type="gramStart"/>
      <w:r w:rsidRPr="00F36DBC">
        <w:rPr>
          <w:sz w:val="20"/>
          <w:szCs w:val="20"/>
        </w:rPr>
        <w:t>200,000 bbl/d</w:t>
      </w:r>
      <w:proofErr w:type="gramEnd"/>
      <w:r w:rsidRPr="00F36DBC">
        <w:rPr>
          <w:sz w:val="20"/>
          <w:szCs w:val="20"/>
        </w:rPr>
        <w:t xml:space="preserve">. </w:t>
      </w:r>
    </w:p>
    <w:p w:rsidR="00E053C0" w:rsidRPr="00F36DBC" w:rsidRDefault="00E053C0" w:rsidP="00E053C0">
      <w:pPr>
        <w:spacing w:after="0"/>
        <w:rPr>
          <w:sz w:val="20"/>
          <w:szCs w:val="20"/>
        </w:rPr>
      </w:pPr>
    </w:p>
    <w:p w:rsidR="00DC44B4" w:rsidRPr="00F36DBC" w:rsidRDefault="004B771D" w:rsidP="00E053C0">
      <w:pPr>
        <w:spacing w:after="0"/>
        <w:rPr>
          <w:sz w:val="20"/>
          <w:szCs w:val="20"/>
        </w:rPr>
      </w:pPr>
      <w:r>
        <w:rPr>
          <w:sz w:val="20"/>
          <w:szCs w:val="20"/>
        </w:rPr>
        <w:t>There are 47 companies</w:t>
      </w:r>
      <w:r w:rsidR="00A95105">
        <w:rPr>
          <w:sz w:val="20"/>
          <w:szCs w:val="20"/>
        </w:rPr>
        <w:t xml:space="preserve"> which are</w:t>
      </w:r>
      <w:r>
        <w:rPr>
          <w:sz w:val="20"/>
          <w:szCs w:val="20"/>
        </w:rPr>
        <w:t xml:space="preserve"> granted distribution licenses in Turkey, among them t</w:t>
      </w:r>
      <w:r w:rsidR="00DC44B4" w:rsidRPr="00F36DBC">
        <w:rPr>
          <w:sz w:val="20"/>
          <w:szCs w:val="20"/>
        </w:rPr>
        <w:t xml:space="preserve">he once state-owned POAS is the leading player in the distribution, marketing, and storage of refined petroleum products in Turkey. In July 2000, the company was privatized, with an initial 51 percent of the shares purchased by </w:t>
      </w:r>
      <w:proofErr w:type="spellStart"/>
      <w:r w:rsidR="00DC44B4" w:rsidRPr="00F36DBC">
        <w:rPr>
          <w:sz w:val="20"/>
          <w:szCs w:val="20"/>
        </w:rPr>
        <w:t>Doğan</w:t>
      </w:r>
      <w:proofErr w:type="spellEnd"/>
      <w:r w:rsidR="00DC44B4" w:rsidRPr="00F36DBC">
        <w:rPr>
          <w:sz w:val="20"/>
          <w:szCs w:val="20"/>
        </w:rPr>
        <w:t xml:space="preserve"> Holding (today </w:t>
      </w:r>
      <w:proofErr w:type="spellStart"/>
      <w:r w:rsidR="00DC44B4" w:rsidRPr="00F36DBC">
        <w:rPr>
          <w:sz w:val="20"/>
          <w:szCs w:val="20"/>
        </w:rPr>
        <w:t>Doğan</w:t>
      </w:r>
      <w:proofErr w:type="spellEnd"/>
      <w:r w:rsidR="00DC44B4" w:rsidRPr="00F36DBC">
        <w:rPr>
          <w:sz w:val="20"/>
          <w:szCs w:val="20"/>
        </w:rPr>
        <w:t xml:space="preserve"> holds a 52.7 percent interest). In March 2006, Austria-based OMV purchased a 34 percent stake in POAS. Although POAS is the leading petroleum products distributor and retailer in Turkey, several other companies also have a sizeable market share, including BP, ExxonMobil, Shell, Total, and Turkish company </w:t>
      </w:r>
      <w:proofErr w:type="spellStart"/>
      <w:r w:rsidR="00DC44B4" w:rsidRPr="00F36DBC">
        <w:rPr>
          <w:sz w:val="20"/>
          <w:szCs w:val="20"/>
        </w:rPr>
        <w:t>Opet</w:t>
      </w:r>
      <w:proofErr w:type="spellEnd"/>
      <w:r w:rsidR="00DC44B4" w:rsidRPr="00F36DBC">
        <w:rPr>
          <w:sz w:val="20"/>
          <w:szCs w:val="20"/>
        </w:rPr>
        <w:t>.</w:t>
      </w:r>
    </w:p>
    <w:p w:rsidR="00003A06" w:rsidRPr="00F36DBC" w:rsidRDefault="00003A06" w:rsidP="00B044F7">
      <w:pPr>
        <w:spacing w:after="0"/>
        <w:ind w:firstLine="708"/>
        <w:jc w:val="center"/>
        <w:rPr>
          <w:rFonts w:cs="CenturyGothic"/>
          <w:sz w:val="20"/>
          <w:szCs w:val="20"/>
          <w:lang w:val="tr-TR" w:eastAsia="tr-TR"/>
        </w:rPr>
      </w:pPr>
    </w:p>
    <w:p w:rsidR="00CD5FC3" w:rsidRDefault="00CD5FC3" w:rsidP="00B044F7">
      <w:pPr>
        <w:spacing w:after="0"/>
        <w:ind w:firstLine="708"/>
        <w:jc w:val="center"/>
        <w:rPr>
          <w:b/>
          <w:sz w:val="20"/>
          <w:szCs w:val="20"/>
        </w:rPr>
      </w:pPr>
    </w:p>
    <w:p w:rsidR="00CD5FC3" w:rsidRDefault="00CD5FC3" w:rsidP="00B044F7">
      <w:pPr>
        <w:spacing w:after="0"/>
        <w:ind w:firstLine="708"/>
        <w:jc w:val="center"/>
        <w:rPr>
          <w:b/>
          <w:sz w:val="20"/>
          <w:szCs w:val="20"/>
        </w:rPr>
      </w:pPr>
    </w:p>
    <w:p w:rsidR="00CD5FC3" w:rsidRDefault="00CD5FC3" w:rsidP="00B044F7">
      <w:pPr>
        <w:spacing w:after="0"/>
        <w:ind w:firstLine="708"/>
        <w:jc w:val="center"/>
        <w:rPr>
          <w:b/>
          <w:sz w:val="20"/>
          <w:szCs w:val="20"/>
        </w:rPr>
      </w:pPr>
    </w:p>
    <w:p w:rsidR="00CD5FC3" w:rsidRDefault="00CD5FC3" w:rsidP="00B044F7">
      <w:pPr>
        <w:spacing w:after="0"/>
        <w:ind w:firstLine="708"/>
        <w:jc w:val="center"/>
        <w:rPr>
          <w:b/>
          <w:sz w:val="20"/>
          <w:szCs w:val="20"/>
        </w:rPr>
      </w:pPr>
    </w:p>
    <w:p w:rsidR="00003A06" w:rsidRPr="00F36DBC" w:rsidRDefault="00B044F7" w:rsidP="00B044F7">
      <w:pPr>
        <w:spacing w:after="0"/>
        <w:ind w:firstLine="708"/>
        <w:jc w:val="center"/>
        <w:rPr>
          <w:b/>
          <w:sz w:val="20"/>
          <w:szCs w:val="20"/>
        </w:rPr>
      </w:pPr>
      <w:r w:rsidRPr="00F36DBC">
        <w:rPr>
          <w:b/>
          <w:sz w:val="20"/>
          <w:szCs w:val="20"/>
        </w:rPr>
        <w:lastRenderedPageBreak/>
        <w:t>Guideline for Investment in the Petroleum Market</w:t>
      </w:r>
    </w:p>
    <w:p w:rsidR="00003A06" w:rsidRPr="00F36DBC" w:rsidRDefault="00003A06" w:rsidP="00B044F7">
      <w:pPr>
        <w:spacing w:after="0"/>
        <w:jc w:val="both"/>
        <w:rPr>
          <w:sz w:val="20"/>
          <w:szCs w:val="20"/>
        </w:rPr>
      </w:pPr>
      <w:r w:rsidRPr="00F36DBC">
        <w:rPr>
          <w:sz w:val="20"/>
          <w:szCs w:val="20"/>
        </w:rPr>
        <w:t xml:space="preserve">The petroleum market in </w:t>
      </w:r>
      <w:r w:rsidR="00B044F7" w:rsidRPr="00F36DBC">
        <w:rPr>
          <w:sz w:val="20"/>
          <w:szCs w:val="20"/>
        </w:rPr>
        <w:t>Turkey</w:t>
      </w:r>
      <w:r w:rsidRPr="00F36DBC">
        <w:rPr>
          <w:sz w:val="20"/>
          <w:szCs w:val="20"/>
        </w:rPr>
        <w:t xml:space="preserve"> is being restructured as a consequence of the enactment of the Petroleum Market Law (PML) No: 5015 on 20.12.2003. PML regulates the market activities regarding petroleum starting from the crude oil supplied from foreign resources or produced domestically and supplied to the consumers as products.</w:t>
      </w:r>
      <w:r w:rsidR="00B044F7" w:rsidRPr="00F36DBC">
        <w:rPr>
          <w:sz w:val="20"/>
          <w:szCs w:val="20"/>
        </w:rPr>
        <w:t xml:space="preserve"> (Downstream activities) PML</w:t>
      </w:r>
      <w:r w:rsidRPr="00F36DBC">
        <w:rPr>
          <w:sz w:val="20"/>
          <w:szCs w:val="20"/>
        </w:rPr>
        <w:t xml:space="preserve"> entrusted in E</w:t>
      </w:r>
      <w:r w:rsidR="00B044F7" w:rsidRPr="00F36DBC">
        <w:rPr>
          <w:sz w:val="20"/>
          <w:szCs w:val="20"/>
        </w:rPr>
        <w:t xml:space="preserve">nergy </w:t>
      </w:r>
      <w:r w:rsidRPr="00F36DBC">
        <w:rPr>
          <w:sz w:val="20"/>
          <w:szCs w:val="20"/>
        </w:rPr>
        <w:t>M</w:t>
      </w:r>
      <w:r w:rsidR="00B044F7" w:rsidRPr="00F36DBC">
        <w:rPr>
          <w:sz w:val="20"/>
          <w:szCs w:val="20"/>
        </w:rPr>
        <w:t xml:space="preserve">arket </w:t>
      </w:r>
      <w:r w:rsidRPr="00F36DBC">
        <w:rPr>
          <w:sz w:val="20"/>
          <w:szCs w:val="20"/>
        </w:rPr>
        <w:t>R</w:t>
      </w:r>
      <w:r w:rsidR="00B044F7" w:rsidRPr="00F36DBC">
        <w:rPr>
          <w:sz w:val="20"/>
          <w:szCs w:val="20"/>
        </w:rPr>
        <w:t xml:space="preserve">egulatory </w:t>
      </w:r>
      <w:r w:rsidRPr="00F36DBC">
        <w:rPr>
          <w:sz w:val="20"/>
          <w:szCs w:val="20"/>
        </w:rPr>
        <w:t>A</w:t>
      </w:r>
      <w:r w:rsidR="00B044F7" w:rsidRPr="00F36DBC">
        <w:rPr>
          <w:sz w:val="20"/>
          <w:szCs w:val="20"/>
        </w:rPr>
        <w:t>uthority (EMRA)</w:t>
      </w:r>
      <w:r w:rsidRPr="00F36DBC">
        <w:rPr>
          <w:sz w:val="20"/>
          <w:szCs w:val="20"/>
        </w:rPr>
        <w:t xml:space="preserve"> the duty, authority and responsibility for guidance, regulation, surveillance and supervision of the petroleum market.  </w:t>
      </w:r>
    </w:p>
    <w:p w:rsidR="00003A06" w:rsidRPr="00F36DBC" w:rsidRDefault="00003A06" w:rsidP="00B044F7">
      <w:pPr>
        <w:spacing w:after="0"/>
        <w:rPr>
          <w:sz w:val="20"/>
          <w:szCs w:val="20"/>
        </w:rPr>
      </w:pPr>
    </w:p>
    <w:p w:rsidR="00003A06" w:rsidRPr="00F36DBC" w:rsidRDefault="00003A06" w:rsidP="00B044F7">
      <w:pPr>
        <w:spacing w:after="0"/>
        <w:rPr>
          <w:b/>
          <w:sz w:val="20"/>
          <w:szCs w:val="20"/>
        </w:rPr>
      </w:pPr>
      <w:r w:rsidRPr="00F36DBC">
        <w:rPr>
          <w:b/>
          <w:sz w:val="20"/>
          <w:szCs w:val="20"/>
        </w:rPr>
        <w:t xml:space="preserve">Licenses  </w:t>
      </w:r>
    </w:p>
    <w:p w:rsidR="00003A06" w:rsidRPr="00F36DBC" w:rsidRDefault="00003A06" w:rsidP="00B044F7">
      <w:pPr>
        <w:spacing w:after="0"/>
        <w:jc w:val="both"/>
        <w:rPr>
          <w:sz w:val="20"/>
          <w:szCs w:val="20"/>
        </w:rPr>
      </w:pPr>
      <w:r w:rsidRPr="00F36DBC">
        <w:rPr>
          <w:sz w:val="20"/>
          <w:szCs w:val="20"/>
        </w:rPr>
        <w:t xml:space="preserve">The petroleum market in Turkey has been legally unbundled as 9 activities (refining, distribution, transmission, storage, processing, lube oil, bunker delivery, transportation and vendor activity) and 1 usage (eligible consumer). A license should be obtained for the performance of the legally unbundled activities or uses. </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rPr>
      </w:pPr>
      <w:r w:rsidRPr="00F36DBC">
        <w:rPr>
          <w:sz w:val="20"/>
          <w:szCs w:val="20"/>
        </w:rPr>
        <w:t xml:space="preserve">The qualifications of the persons to be granted licenses should comply with the general and the special conditions determined for related license type. </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rPr>
      </w:pPr>
      <w:r w:rsidRPr="00F36DBC">
        <w:rPr>
          <w:sz w:val="20"/>
          <w:szCs w:val="20"/>
        </w:rPr>
        <w:t xml:space="preserve">As general qualifications, the persons to be granted licenses should be legal or real persons; </w:t>
      </w:r>
    </w:p>
    <w:p w:rsidR="00003A06" w:rsidRPr="00F36DBC" w:rsidRDefault="00003A06" w:rsidP="00B044F7">
      <w:pPr>
        <w:spacing w:after="0"/>
        <w:ind w:left="708"/>
        <w:jc w:val="both"/>
        <w:rPr>
          <w:sz w:val="20"/>
          <w:szCs w:val="20"/>
        </w:rPr>
      </w:pPr>
      <w:r w:rsidRPr="00F36DBC">
        <w:rPr>
          <w:sz w:val="20"/>
          <w:szCs w:val="20"/>
        </w:rPr>
        <w:t xml:space="preserve">   -  residing in Turkey, </w:t>
      </w:r>
    </w:p>
    <w:p w:rsidR="00003A06" w:rsidRPr="00F36DBC" w:rsidRDefault="00003A06" w:rsidP="00B044F7">
      <w:pPr>
        <w:spacing w:after="0"/>
        <w:ind w:left="708"/>
        <w:jc w:val="both"/>
        <w:rPr>
          <w:sz w:val="20"/>
          <w:szCs w:val="20"/>
        </w:rPr>
      </w:pPr>
      <w:r w:rsidRPr="00F36DBC">
        <w:rPr>
          <w:sz w:val="20"/>
          <w:szCs w:val="20"/>
        </w:rPr>
        <w:t xml:space="preserve">   -  having commercial or industrial registry, </w:t>
      </w:r>
    </w:p>
    <w:p w:rsidR="00003A06" w:rsidRPr="00F36DBC" w:rsidRDefault="00003A06" w:rsidP="00B044F7">
      <w:pPr>
        <w:spacing w:after="0"/>
        <w:ind w:left="708"/>
        <w:jc w:val="both"/>
        <w:rPr>
          <w:sz w:val="20"/>
          <w:szCs w:val="20"/>
        </w:rPr>
      </w:pPr>
      <w:r w:rsidRPr="00F36DBC">
        <w:rPr>
          <w:sz w:val="20"/>
          <w:szCs w:val="20"/>
        </w:rPr>
        <w:t xml:space="preserve">   -  </w:t>
      </w:r>
      <w:proofErr w:type="gramStart"/>
      <w:r w:rsidRPr="00F36DBC">
        <w:rPr>
          <w:sz w:val="20"/>
          <w:szCs w:val="20"/>
        </w:rPr>
        <w:t>income</w:t>
      </w:r>
      <w:proofErr w:type="gramEnd"/>
      <w:r w:rsidRPr="00F36DBC">
        <w:rPr>
          <w:sz w:val="20"/>
          <w:szCs w:val="20"/>
        </w:rPr>
        <w:t xml:space="preserve"> or corporate tax payer, </w:t>
      </w:r>
    </w:p>
    <w:p w:rsidR="00003A06" w:rsidRPr="00F36DBC" w:rsidRDefault="00003A06" w:rsidP="00B044F7">
      <w:pPr>
        <w:spacing w:after="0"/>
        <w:jc w:val="both"/>
        <w:rPr>
          <w:sz w:val="20"/>
          <w:szCs w:val="20"/>
        </w:rPr>
      </w:pPr>
      <w:r w:rsidRPr="00F36DBC">
        <w:rPr>
          <w:sz w:val="20"/>
          <w:szCs w:val="20"/>
        </w:rPr>
        <w:t xml:space="preserve"> </w:t>
      </w:r>
    </w:p>
    <w:p w:rsidR="00003A06" w:rsidRPr="00F36DBC" w:rsidRDefault="00003A06" w:rsidP="00B044F7">
      <w:pPr>
        <w:spacing w:after="0"/>
        <w:jc w:val="both"/>
        <w:rPr>
          <w:sz w:val="20"/>
          <w:szCs w:val="20"/>
        </w:rPr>
      </w:pPr>
      <w:r w:rsidRPr="00F36DBC">
        <w:rPr>
          <w:sz w:val="20"/>
          <w:szCs w:val="20"/>
        </w:rPr>
        <w:t>Within this scope, the legal persons engaging in market activities in Turkey and qualified as capital stock company as per the legislation of foreign countries are deemed to be the residents of  Turkey regarding their activities in Turkey as per the legislation on protecting the value of Turkish currency.</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rPr>
      </w:pPr>
      <w:r w:rsidRPr="00F36DBC">
        <w:rPr>
          <w:sz w:val="20"/>
          <w:szCs w:val="20"/>
        </w:rPr>
        <w:t xml:space="preserve">The legal person applying for the licenses of refining, transmission, storage, processing, distribution and bunker delivery should be founded as joint stock or </w:t>
      </w:r>
      <w:proofErr w:type="gramStart"/>
      <w:r w:rsidRPr="00F36DBC">
        <w:rPr>
          <w:sz w:val="20"/>
          <w:szCs w:val="20"/>
        </w:rPr>
        <w:t>limited liability company</w:t>
      </w:r>
      <w:proofErr w:type="gramEnd"/>
      <w:r w:rsidRPr="00F36DBC">
        <w:rPr>
          <w:sz w:val="20"/>
          <w:szCs w:val="20"/>
        </w:rPr>
        <w:t xml:space="preserve"> as per the provisions of the Turkish Commercial Code No:</w:t>
      </w:r>
      <w:r w:rsidR="00B044F7" w:rsidRPr="00F36DBC">
        <w:rPr>
          <w:sz w:val="20"/>
          <w:szCs w:val="20"/>
        </w:rPr>
        <w:t xml:space="preserve"> </w:t>
      </w:r>
      <w:r w:rsidRPr="00F36DBC">
        <w:rPr>
          <w:sz w:val="20"/>
          <w:szCs w:val="20"/>
        </w:rPr>
        <w:t xml:space="preserve">6762. </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rPr>
      </w:pPr>
      <w:r w:rsidRPr="00F36DBC">
        <w:rPr>
          <w:sz w:val="20"/>
          <w:szCs w:val="20"/>
          <w:u w:val="single"/>
        </w:rPr>
        <w:t xml:space="preserve">1) The special qualifications related persons should have according to the license types: </w:t>
      </w:r>
    </w:p>
    <w:p w:rsidR="00003A06" w:rsidRPr="00F36DBC" w:rsidRDefault="00003A06" w:rsidP="00B044F7">
      <w:pPr>
        <w:spacing w:after="0"/>
        <w:jc w:val="both"/>
        <w:rPr>
          <w:sz w:val="20"/>
          <w:szCs w:val="20"/>
        </w:rPr>
      </w:pPr>
    </w:p>
    <w:p w:rsidR="00003A06" w:rsidRPr="00F36DBC" w:rsidRDefault="00003A06" w:rsidP="00B044F7">
      <w:pPr>
        <w:spacing w:after="0"/>
        <w:ind w:firstLine="708"/>
        <w:jc w:val="both"/>
        <w:rPr>
          <w:sz w:val="20"/>
          <w:szCs w:val="20"/>
        </w:rPr>
      </w:pPr>
      <w:r w:rsidRPr="00F36DBC">
        <w:rPr>
          <w:sz w:val="20"/>
          <w:szCs w:val="20"/>
        </w:rPr>
        <w:t xml:space="preserve">1.1) </w:t>
      </w:r>
      <w:proofErr w:type="gramStart"/>
      <w:r w:rsidRPr="00F36DBC">
        <w:rPr>
          <w:sz w:val="20"/>
          <w:szCs w:val="20"/>
        </w:rPr>
        <w:t>The</w:t>
      </w:r>
      <w:proofErr w:type="gramEnd"/>
      <w:r w:rsidRPr="00F36DBC">
        <w:rPr>
          <w:sz w:val="20"/>
          <w:szCs w:val="20"/>
        </w:rPr>
        <w:t xml:space="preserve"> minimum capital should be: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440"/>
      </w:tblGrid>
      <w:tr w:rsidR="00B371A3" w:rsidRPr="00F36DBC" w:rsidTr="00E64869">
        <w:trPr>
          <w:jc w:val="center"/>
        </w:trPr>
        <w:tc>
          <w:tcPr>
            <w:tcW w:w="2520" w:type="dxa"/>
          </w:tcPr>
          <w:p w:rsidR="00B371A3" w:rsidRPr="00F36DBC" w:rsidRDefault="00B371A3" w:rsidP="00E64869">
            <w:pPr>
              <w:spacing w:after="0"/>
              <w:jc w:val="center"/>
              <w:rPr>
                <w:b/>
                <w:sz w:val="16"/>
                <w:szCs w:val="16"/>
              </w:rPr>
            </w:pPr>
            <w:r w:rsidRPr="00F36DBC">
              <w:rPr>
                <w:b/>
                <w:sz w:val="16"/>
                <w:szCs w:val="16"/>
              </w:rPr>
              <w:t>Minimum Capital For:</w:t>
            </w:r>
          </w:p>
        </w:tc>
        <w:tc>
          <w:tcPr>
            <w:tcW w:w="1440" w:type="dxa"/>
          </w:tcPr>
          <w:p w:rsidR="00B371A3" w:rsidRPr="00F36DBC" w:rsidRDefault="00B371A3" w:rsidP="00E64869">
            <w:pPr>
              <w:spacing w:after="0"/>
              <w:jc w:val="center"/>
              <w:rPr>
                <w:b/>
                <w:sz w:val="16"/>
                <w:szCs w:val="16"/>
              </w:rPr>
            </w:pPr>
            <w:r w:rsidRPr="00F36DBC">
              <w:rPr>
                <w:b/>
                <w:sz w:val="16"/>
                <w:szCs w:val="16"/>
              </w:rPr>
              <w:t>TRY</w:t>
            </w:r>
          </w:p>
        </w:tc>
      </w:tr>
      <w:tr w:rsidR="00B044F7" w:rsidRPr="00F36DBC" w:rsidTr="00E64869">
        <w:trPr>
          <w:jc w:val="center"/>
        </w:trPr>
        <w:tc>
          <w:tcPr>
            <w:tcW w:w="2520" w:type="dxa"/>
          </w:tcPr>
          <w:p w:rsidR="00B044F7" w:rsidRPr="00F36DBC" w:rsidRDefault="00B044F7" w:rsidP="00E64869">
            <w:pPr>
              <w:spacing w:after="0"/>
              <w:jc w:val="both"/>
              <w:rPr>
                <w:sz w:val="16"/>
                <w:szCs w:val="16"/>
              </w:rPr>
            </w:pPr>
            <w:r w:rsidRPr="00F36DBC">
              <w:rPr>
                <w:sz w:val="16"/>
                <w:szCs w:val="16"/>
              </w:rPr>
              <w:t>Refining license</w:t>
            </w:r>
            <w:r w:rsidRPr="00F36DBC">
              <w:rPr>
                <w:sz w:val="16"/>
                <w:szCs w:val="16"/>
              </w:rPr>
              <w:tab/>
            </w:r>
          </w:p>
        </w:tc>
        <w:tc>
          <w:tcPr>
            <w:tcW w:w="1440" w:type="dxa"/>
          </w:tcPr>
          <w:p w:rsidR="00B044F7" w:rsidRPr="00F36DBC" w:rsidRDefault="00B044F7" w:rsidP="00E64869">
            <w:pPr>
              <w:spacing w:after="0"/>
              <w:jc w:val="right"/>
              <w:rPr>
                <w:sz w:val="16"/>
                <w:szCs w:val="16"/>
              </w:rPr>
            </w:pPr>
            <w:r w:rsidRPr="00F36DBC">
              <w:rPr>
                <w:sz w:val="16"/>
                <w:szCs w:val="16"/>
              </w:rPr>
              <w:t>50.000.000</w:t>
            </w:r>
          </w:p>
        </w:tc>
      </w:tr>
      <w:tr w:rsidR="00B044F7" w:rsidRPr="00F36DBC" w:rsidTr="00E64869">
        <w:trPr>
          <w:jc w:val="center"/>
        </w:trPr>
        <w:tc>
          <w:tcPr>
            <w:tcW w:w="2520" w:type="dxa"/>
          </w:tcPr>
          <w:p w:rsidR="00B044F7" w:rsidRPr="00F36DBC" w:rsidRDefault="00B044F7" w:rsidP="00E64869">
            <w:pPr>
              <w:spacing w:after="0"/>
              <w:jc w:val="both"/>
              <w:rPr>
                <w:sz w:val="16"/>
                <w:szCs w:val="16"/>
              </w:rPr>
            </w:pPr>
            <w:r w:rsidRPr="00F36DBC">
              <w:rPr>
                <w:sz w:val="16"/>
                <w:szCs w:val="16"/>
              </w:rPr>
              <w:t>Transmission license</w:t>
            </w:r>
          </w:p>
        </w:tc>
        <w:tc>
          <w:tcPr>
            <w:tcW w:w="1440" w:type="dxa"/>
          </w:tcPr>
          <w:p w:rsidR="00B044F7" w:rsidRPr="00F36DBC" w:rsidRDefault="00B044F7" w:rsidP="00E64869">
            <w:pPr>
              <w:spacing w:after="0"/>
              <w:jc w:val="right"/>
              <w:rPr>
                <w:sz w:val="16"/>
                <w:szCs w:val="16"/>
              </w:rPr>
            </w:pPr>
            <w:r w:rsidRPr="00F36DBC">
              <w:rPr>
                <w:sz w:val="16"/>
                <w:szCs w:val="16"/>
              </w:rPr>
              <w:t>500.000</w:t>
            </w:r>
          </w:p>
        </w:tc>
      </w:tr>
      <w:tr w:rsidR="00B044F7" w:rsidRPr="00F36DBC" w:rsidTr="00E64869">
        <w:trPr>
          <w:jc w:val="center"/>
        </w:trPr>
        <w:tc>
          <w:tcPr>
            <w:tcW w:w="2520" w:type="dxa"/>
          </w:tcPr>
          <w:p w:rsidR="00B044F7" w:rsidRPr="00F36DBC" w:rsidRDefault="00B044F7" w:rsidP="00E64869">
            <w:pPr>
              <w:spacing w:after="0"/>
              <w:jc w:val="both"/>
              <w:rPr>
                <w:sz w:val="16"/>
                <w:szCs w:val="16"/>
              </w:rPr>
            </w:pPr>
            <w:r w:rsidRPr="00F36DBC">
              <w:rPr>
                <w:sz w:val="16"/>
                <w:szCs w:val="16"/>
              </w:rPr>
              <w:t>Storage license</w:t>
            </w:r>
          </w:p>
        </w:tc>
        <w:tc>
          <w:tcPr>
            <w:tcW w:w="1440" w:type="dxa"/>
          </w:tcPr>
          <w:p w:rsidR="00B044F7" w:rsidRPr="00F36DBC" w:rsidRDefault="00B044F7" w:rsidP="00E64869">
            <w:pPr>
              <w:spacing w:after="0"/>
              <w:jc w:val="right"/>
              <w:rPr>
                <w:sz w:val="16"/>
                <w:szCs w:val="16"/>
              </w:rPr>
            </w:pPr>
            <w:r w:rsidRPr="00F36DBC">
              <w:rPr>
                <w:sz w:val="16"/>
                <w:szCs w:val="16"/>
              </w:rPr>
              <w:t>1.000.000</w:t>
            </w:r>
          </w:p>
        </w:tc>
      </w:tr>
      <w:tr w:rsidR="00B044F7" w:rsidRPr="00F36DBC" w:rsidTr="00E64869">
        <w:trPr>
          <w:jc w:val="center"/>
        </w:trPr>
        <w:tc>
          <w:tcPr>
            <w:tcW w:w="2520" w:type="dxa"/>
          </w:tcPr>
          <w:p w:rsidR="00B044F7" w:rsidRPr="00F36DBC" w:rsidRDefault="00B044F7" w:rsidP="00E64869">
            <w:pPr>
              <w:spacing w:after="0"/>
              <w:jc w:val="both"/>
              <w:rPr>
                <w:sz w:val="16"/>
                <w:szCs w:val="16"/>
              </w:rPr>
            </w:pPr>
            <w:r w:rsidRPr="00F36DBC">
              <w:rPr>
                <w:sz w:val="16"/>
                <w:szCs w:val="16"/>
              </w:rPr>
              <w:t>Processing license</w:t>
            </w:r>
          </w:p>
        </w:tc>
        <w:tc>
          <w:tcPr>
            <w:tcW w:w="1440" w:type="dxa"/>
          </w:tcPr>
          <w:p w:rsidR="00B044F7" w:rsidRPr="00F36DBC" w:rsidRDefault="00B044F7" w:rsidP="00E64869">
            <w:pPr>
              <w:spacing w:after="0"/>
              <w:jc w:val="right"/>
              <w:rPr>
                <w:sz w:val="16"/>
                <w:szCs w:val="16"/>
              </w:rPr>
            </w:pPr>
            <w:r w:rsidRPr="00F36DBC">
              <w:rPr>
                <w:sz w:val="16"/>
                <w:szCs w:val="16"/>
              </w:rPr>
              <w:t>500.000</w:t>
            </w:r>
          </w:p>
        </w:tc>
      </w:tr>
      <w:tr w:rsidR="00B044F7" w:rsidRPr="00F36DBC" w:rsidTr="00E64869">
        <w:trPr>
          <w:jc w:val="center"/>
        </w:trPr>
        <w:tc>
          <w:tcPr>
            <w:tcW w:w="2520" w:type="dxa"/>
          </w:tcPr>
          <w:p w:rsidR="00B044F7" w:rsidRPr="00F36DBC" w:rsidRDefault="00B044F7" w:rsidP="00E64869">
            <w:pPr>
              <w:spacing w:after="0"/>
              <w:jc w:val="both"/>
              <w:rPr>
                <w:sz w:val="16"/>
                <w:szCs w:val="16"/>
              </w:rPr>
            </w:pPr>
            <w:r w:rsidRPr="00F36DBC">
              <w:rPr>
                <w:sz w:val="16"/>
                <w:szCs w:val="16"/>
              </w:rPr>
              <w:t>Distribution license</w:t>
            </w:r>
          </w:p>
        </w:tc>
        <w:tc>
          <w:tcPr>
            <w:tcW w:w="1440" w:type="dxa"/>
          </w:tcPr>
          <w:p w:rsidR="00B044F7" w:rsidRPr="00F36DBC" w:rsidRDefault="00B044F7" w:rsidP="00E64869">
            <w:pPr>
              <w:spacing w:after="0"/>
              <w:jc w:val="right"/>
              <w:rPr>
                <w:sz w:val="16"/>
                <w:szCs w:val="16"/>
              </w:rPr>
            </w:pPr>
            <w:r w:rsidRPr="00F36DBC">
              <w:rPr>
                <w:sz w:val="16"/>
                <w:szCs w:val="16"/>
              </w:rPr>
              <w:t>5.000.000</w:t>
            </w:r>
          </w:p>
        </w:tc>
      </w:tr>
      <w:tr w:rsidR="00B044F7" w:rsidRPr="00F36DBC" w:rsidTr="00E64869">
        <w:trPr>
          <w:jc w:val="center"/>
        </w:trPr>
        <w:tc>
          <w:tcPr>
            <w:tcW w:w="2520" w:type="dxa"/>
          </w:tcPr>
          <w:p w:rsidR="00B044F7" w:rsidRPr="00F36DBC" w:rsidRDefault="00B044F7" w:rsidP="00E64869">
            <w:pPr>
              <w:spacing w:after="0"/>
              <w:jc w:val="both"/>
              <w:rPr>
                <w:sz w:val="16"/>
                <w:szCs w:val="16"/>
              </w:rPr>
            </w:pPr>
            <w:r w:rsidRPr="00F36DBC">
              <w:rPr>
                <w:sz w:val="16"/>
                <w:szCs w:val="16"/>
              </w:rPr>
              <w:t xml:space="preserve">Bunker delivery license     </w:t>
            </w:r>
          </w:p>
        </w:tc>
        <w:tc>
          <w:tcPr>
            <w:tcW w:w="1440" w:type="dxa"/>
          </w:tcPr>
          <w:p w:rsidR="00B044F7" w:rsidRPr="00F36DBC" w:rsidRDefault="00B044F7" w:rsidP="00E64869">
            <w:pPr>
              <w:spacing w:after="0"/>
              <w:jc w:val="right"/>
              <w:rPr>
                <w:sz w:val="16"/>
                <w:szCs w:val="16"/>
              </w:rPr>
            </w:pPr>
            <w:r w:rsidRPr="00F36DBC">
              <w:rPr>
                <w:sz w:val="16"/>
                <w:szCs w:val="16"/>
              </w:rPr>
              <w:t>2.000.000</w:t>
            </w:r>
          </w:p>
        </w:tc>
      </w:tr>
    </w:tbl>
    <w:p w:rsidR="00003A06" w:rsidRPr="00F36DBC" w:rsidRDefault="00003A06" w:rsidP="00B044F7">
      <w:pPr>
        <w:spacing w:after="0"/>
        <w:jc w:val="both"/>
        <w:rPr>
          <w:sz w:val="20"/>
          <w:szCs w:val="20"/>
        </w:rPr>
      </w:pPr>
    </w:p>
    <w:p w:rsidR="00003A06" w:rsidRPr="00F36DBC" w:rsidRDefault="00003A06" w:rsidP="00B044F7">
      <w:pPr>
        <w:spacing w:after="0"/>
        <w:ind w:firstLine="708"/>
        <w:jc w:val="both"/>
        <w:rPr>
          <w:sz w:val="20"/>
          <w:szCs w:val="20"/>
        </w:rPr>
      </w:pPr>
      <w:r w:rsidRPr="00F36DBC">
        <w:rPr>
          <w:sz w:val="20"/>
          <w:szCs w:val="20"/>
        </w:rPr>
        <w:t xml:space="preserve">1.2) </w:t>
      </w:r>
      <w:proofErr w:type="gramStart"/>
      <w:r w:rsidRPr="00F36DBC">
        <w:rPr>
          <w:sz w:val="20"/>
          <w:szCs w:val="20"/>
        </w:rPr>
        <w:t>The</w:t>
      </w:r>
      <w:proofErr w:type="gramEnd"/>
      <w:r w:rsidRPr="00F36DBC">
        <w:rPr>
          <w:sz w:val="20"/>
          <w:szCs w:val="20"/>
        </w:rPr>
        <w:t xml:space="preserve"> minimum capacity should be (the annual marketing projection as of the date of application or capacity for use): </w:t>
      </w:r>
    </w:p>
    <w:p w:rsidR="00003A06" w:rsidRPr="00F36DBC" w:rsidRDefault="00003A06" w:rsidP="00B044F7">
      <w:pPr>
        <w:spacing w:after="0"/>
        <w:ind w:firstLine="708"/>
        <w:jc w:val="both"/>
        <w:rPr>
          <w:sz w:val="20"/>
          <w:szCs w:val="20"/>
        </w:rPr>
      </w:pPr>
      <w:r w:rsidRPr="00F36DBC">
        <w:rPr>
          <w:sz w:val="20"/>
          <w:szCs w:val="20"/>
        </w:rPr>
        <w:t xml:space="preserve">-60.000 tones of annual sale for distribution license </w:t>
      </w:r>
    </w:p>
    <w:p w:rsidR="00003A06" w:rsidRPr="00F36DBC" w:rsidRDefault="00003A06" w:rsidP="00B044F7">
      <w:pPr>
        <w:spacing w:after="0"/>
        <w:ind w:firstLine="708"/>
        <w:jc w:val="both"/>
        <w:rPr>
          <w:sz w:val="20"/>
          <w:szCs w:val="20"/>
        </w:rPr>
      </w:pPr>
      <w:r w:rsidRPr="00F36DBC">
        <w:rPr>
          <w:sz w:val="20"/>
          <w:szCs w:val="20"/>
        </w:rPr>
        <w:t>-5.000 tones of annual use for eligible consumer license (only for diesel oil and fuel oil types).</w:t>
      </w:r>
    </w:p>
    <w:p w:rsidR="00003A06" w:rsidRPr="00F36DBC" w:rsidRDefault="00003A06" w:rsidP="00B044F7">
      <w:pPr>
        <w:spacing w:after="0"/>
        <w:ind w:firstLine="708"/>
        <w:jc w:val="both"/>
        <w:rPr>
          <w:sz w:val="20"/>
          <w:szCs w:val="20"/>
        </w:rPr>
      </w:pPr>
    </w:p>
    <w:p w:rsidR="00003A06" w:rsidRPr="00F36DBC" w:rsidRDefault="00003A06" w:rsidP="00B044F7">
      <w:pPr>
        <w:spacing w:after="0"/>
        <w:ind w:firstLine="708"/>
        <w:jc w:val="both"/>
        <w:rPr>
          <w:sz w:val="20"/>
          <w:szCs w:val="20"/>
        </w:rPr>
      </w:pPr>
      <w:r w:rsidRPr="00F36DBC">
        <w:rPr>
          <w:sz w:val="20"/>
          <w:szCs w:val="20"/>
        </w:rPr>
        <w:t xml:space="preserve">1.3) </w:t>
      </w:r>
      <w:proofErr w:type="gramStart"/>
      <w:r w:rsidRPr="00F36DBC">
        <w:rPr>
          <w:sz w:val="20"/>
          <w:szCs w:val="20"/>
        </w:rPr>
        <w:t>For</w:t>
      </w:r>
      <w:proofErr w:type="gramEnd"/>
      <w:r w:rsidRPr="00F36DBC">
        <w:rPr>
          <w:sz w:val="20"/>
          <w:szCs w:val="20"/>
        </w:rPr>
        <w:t xml:space="preserve"> transportation license:</w:t>
      </w:r>
    </w:p>
    <w:p w:rsidR="00003A06" w:rsidRPr="00F36DBC" w:rsidRDefault="00003A06" w:rsidP="00B044F7">
      <w:pPr>
        <w:numPr>
          <w:ilvl w:val="0"/>
          <w:numId w:val="13"/>
        </w:numPr>
        <w:spacing w:after="0"/>
        <w:jc w:val="both"/>
        <w:rPr>
          <w:sz w:val="20"/>
          <w:szCs w:val="20"/>
        </w:rPr>
      </w:pPr>
      <w:r w:rsidRPr="00F36DBC">
        <w:rPr>
          <w:sz w:val="20"/>
          <w:szCs w:val="20"/>
        </w:rPr>
        <w:t>Should have the possession of at least one road transportation vehicle or have one through financial leasing,</w:t>
      </w:r>
    </w:p>
    <w:p w:rsidR="00003A06" w:rsidRPr="00F36DBC" w:rsidRDefault="00003A06" w:rsidP="00B044F7">
      <w:pPr>
        <w:numPr>
          <w:ilvl w:val="0"/>
          <w:numId w:val="13"/>
        </w:numPr>
        <w:spacing w:after="0"/>
        <w:jc w:val="both"/>
        <w:rPr>
          <w:sz w:val="20"/>
          <w:szCs w:val="20"/>
        </w:rPr>
      </w:pPr>
      <w:r w:rsidRPr="00F36DBC">
        <w:rPr>
          <w:sz w:val="20"/>
          <w:szCs w:val="20"/>
        </w:rPr>
        <w:t>Should have the possession of at least one sea transportation vehicle or have one through financial leasing or have a lease-service agreement with the related persons,</w:t>
      </w:r>
    </w:p>
    <w:p w:rsidR="00003A06" w:rsidRPr="00F36DBC" w:rsidRDefault="00003A06" w:rsidP="00B044F7">
      <w:pPr>
        <w:numPr>
          <w:ilvl w:val="0"/>
          <w:numId w:val="13"/>
        </w:numPr>
        <w:spacing w:after="0"/>
        <w:jc w:val="both"/>
        <w:rPr>
          <w:sz w:val="20"/>
          <w:szCs w:val="20"/>
        </w:rPr>
      </w:pPr>
      <w:r w:rsidRPr="00F36DBC">
        <w:rPr>
          <w:sz w:val="20"/>
          <w:szCs w:val="20"/>
        </w:rPr>
        <w:lastRenderedPageBreak/>
        <w:t xml:space="preserve">Regarding the railway vehicle, should have a lease-service agreement with the related persons. </w:t>
      </w:r>
    </w:p>
    <w:p w:rsidR="00003A06" w:rsidRPr="00F36DBC" w:rsidRDefault="00003A06" w:rsidP="00B044F7">
      <w:pPr>
        <w:spacing w:after="0"/>
        <w:jc w:val="both"/>
        <w:rPr>
          <w:sz w:val="20"/>
          <w:szCs w:val="20"/>
          <w:u w:val="single"/>
        </w:rPr>
      </w:pPr>
    </w:p>
    <w:p w:rsidR="00003A06" w:rsidRPr="00F36DBC" w:rsidRDefault="00003A06" w:rsidP="00B044F7">
      <w:pPr>
        <w:spacing w:after="0"/>
        <w:jc w:val="both"/>
        <w:rPr>
          <w:sz w:val="20"/>
          <w:szCs w:val="20"/>
        </w:rPr>
      </w:pPr>
      <w:r w:rsidRPr="00F36DBC">
        <w:rPr>
          <w:sz w:val="20"/>
          <w:szCs w:val="20"/>
        </w:rPr>
        <w:t xml:space="preserve">For the licenses subject to Board’s decision, given the applications are duly filed, the licensing process is completed within maximum 90 days, whereas license applications for vendor activity, eligible consumer and </w:t>
      </w:r>
      <w:r w:rsidR="00B044F7" w:rsidRPr="00F36DBC">
        <w:rPr>
          <w:sz w:val="20"/>
          <w:szCs w:val="20"/>
        </w:rPr>
        <w:t>transportation</w:t>
      </w:r>
      <w:r w:rsidRPr="00F36DBC">
        <w:rPr>
          <w:sz w:val="20"/>
          <w:szCs w:val="20"/>
        </w:rPr>
        <w:t xml:space="preserve"> via motorways licenses are concluded within a few working days upon the examination by the related expert.     </w:t>
      </w:r>
    </w:p>
    <w:p w:rsidR="00003A06" w:rsidRPr="00F36DBC" w:rsidRDefault="00003A06" w:rsidP="00B044F7">
      <w:pPr>
        <w:spacing w:after="0"/>
        <w:jc w:val="both"/>
        <w:rPr>
          <w:sz w:val="20"/>
          <w:szCs w:val="20"/>
          <w:u w:val="single"/>
        </w:rPr>
      </w:pPr>
    </w:p>
    <w:p w:rsidR="00003A06" w:rsidRPr="00F36DBC" w:rsidRDefault="00003A06" w:rsidP="00B044F7">
      <w:pPr>
        <w:spacing w:after="0"/>
        <w:ind w:firstLine="708"/>
        <w:jc w:val="both"/>
        <w:rPr>
          <w:sz w:val="20"/>
          <w:szCs w:val="20"/>
        </w:rPr>
      </w:pPr>
      <w:r w:rsidRPr="00F36DBC">
        <w:rPr>
          <w:sz w:val="20"/>
          <w:szCs w:val="20"/>
        </w:rPr>
        <w:t xml:space="preserve">1.4) </w:t>
      </w:r>
      <w:proofErr w:type="gramStart"/>
      <w:r w:rsidRPr="00F36DBC">
        <w:rPr>
          <w:sz w:val="20"/>
          <w:szCs w:val="20"/>
        </w:rPr>
        <w:t>Other</w:t>
      </w:r>
      <w:proofErr w:type="gramEnd"/>
      <w:r w:rsidRPr="00F36DBC">
        <w:rPr>
          <w:sz w:val="20"/>
          <w:szCs w:val="20"/>
        </w:rPr>
        <w:t xml:space="preserve"> conditions: </w:t>
      </w:r>
    </w:p>
    <w:p w:rsidR="00003A06" w:rsidRPr="00F36DBC" w:rsidRDefault="00003A06" w:rsidP="00B044F7">
      <w:pPr>
        <w:spacing w:after="0"/>
        <w:ind w:firstLine="708"/>
        <w:jc w:val="both"/>
        <w:rPr>
          <w:sz w:val="20"/>
          <w:szCs w:val="20"/>
        </w:rPr>
      </w:pPr>
    </w:p>
    <w:p w:rsidR="00003A06" w:rsidRPr="00F36DBC" w:rsidRDefault="00003A06" w:rsidP="00B044F7">
      <w:pPr>
        <w:spacing w:after="0"/>
        <w:jc w:val="both"/>
        <w:rPr>
          <w:sz w:val="20"/>
          <w:szCs w:val="20"/>
        </w:rPr>
      </w:pPr>
      <w:r w:rsidRPr="00F36DBC">
        <w:rPr>
          <w:sz w:val="20"/>
          <w:szCs w:val="20"/>
        </w:rPr>
        <w:t xml:space="preserve">For bunker delivery licenses, permission should be taken from the authorities and/or organizations related with the facilities.  </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rPr>
      </w:pPr>
      <w:r w:rsidRPr="00F36DBC">
        <w:rPr>
          <w:sz w:val="20"/>
          <w:szCs w:val="20"/>
        </w:rPr>
        <w:t>The persons who apply to the Authority for vendor activity licenses of newly established liquid fuel stations should submit together with all the documents stated in the legislation, a document showing that they meet the minimum distance condition.</w:t>
      </w:r>
    </w:p>
    <w:p w:rsidR="00003A06" w:rsidRPr="00F36DBC" w:rsidRDefault="00003A06" w:rsidP="00B044F7">
      <w:pPr>
        <w:spacing w:after="0"/>
        <w:ind w:firstLine="708"/>
        <w:jc w:val="both"/>
        <w:rPr>
          <w:sz w:val="20"/>
          <w:szCs w:val="20"/>
        </w:rPr>
      </w:pPr>
    </w:p>
    <w:p w:rsidR="00003A06" w:rsidRPr="00F36DBC" w:rsidRDefault="00003A06" w:rsidP="00B044F7">
      <w:pPr>
        <w:spacing w:after="0"/>
        <w:jc w:val="both"/>
        <w:rPr>
          <w:sz w:val="20"/>
          <w:szCs w:val="20"/>
        </w:rPr>
      </w:pPr>
      <w:proofErr w:type="gramStart"/>
      <w:r w:rsidRPr="00F36DBC">
        <w:rPr>
          <w:sz w:val="20"/>
          <w:szCs w:val="20"/>
        </w:rPr>
        <w:t>Vendor activity license holders (operating stations) willing to do sale for agricultural purposes should take the necessary measures and should submit and include in their licenses the documents of their tankers and village pump/s.</w:t>
      </w:r>
      <w:proofErr w:type="gramEnd"/>
    </w:p>
    <w:p w:rsidR="00003A06" w:rsidRPr="00F36DBC" w:rsidRDefault="00003A06" w:rsidP="00B044F7">
      <w:pPr>
        <w:pStyle w:val="NormalWeb"/>
        <w:spacing w:before="0" w:beforeAutospacing="0" w:after="0" w:afterAutospacing="0" w:line="276" w:lineRule="auto"/>
        <w:ind w:firstLine="708"/>
        <w:jc w:val="both"/>
        <w:rPr>
          <w:rFonts w:ascii="Calibri" w:hAnsi="Calibri"/>
          <w:sz w:val="20"/>
          <w:szCs w:val="20"/>
        </w:rPr>
      </w:pPr>
    </w:p>
    <w:p w:rsidR="00003A06" w:rsidRPr="00F36DBC" w:rsidRDefault="00003A06" w:rsidP="00B044F7">
      <w:pPr>
        <w:pStyle w:val="NormalWeb"/>
        <w:spacing w:before="0" w:beforeAutospacing="0" w:after="0" w:afterAutospacing="0" w:line="276" w:lineRule="auto"/>
        <w:jc w:val="both"/>
        <w:rPr>
          <w:rFonts w:ascii="Calibri" w:hAnsi="Calibri"/>
          <w:sz w:val="20"/>
          <w:szCs w:val="20"/>
        </w:rPr>
      </w:pPr>
      <w:r w:rsidRPr="00F36DBC">
        <w:rPr>
          <w:rFonts w:ascii="Calibri" w:hAnsi="Calibri"/>
          <w:sz w:val="20"/>
          <w:szCs w:val="20"/>
        </w:rPr>
        <w:t>In cases which require a facility to perform the market activity, it is obligatory to submit the facility’s Certificate for Starting and Managing a Business Establishment prepared as per the related legislation.</w:t>
      </w:r>
    </w:p>
    <w:p w:rsidR="00003A06" w:rsidRPr="00F36DBC" w:rsidRDefault="00003A06" w:rsidP="00B044F7">
      <w:pPr>
        <w:pStyle w:val="NormalWeb"/>
        <w:spacing w:before="0" w:beforeAutospacing="0" w:after="0" w:afterAutospacing="0" w:line="276" w:lineRule="auto"/>
        <w:ind w:firstLine="375"/>
        <w:jc w:val="both"/>
        <w:rPr>
          <w:sz w:val="20"/>
          <w:szCs w:val="20"/>
          <w:u w:val="single"/>
        </w:rPr>
      </w:pPr>
    </w:p>
    <w:p w:rsidR="00003A06" w:rsidRPr="00F36DBC" w:rsidRDefault="00003A06" w:rsidP="00B044F7">
      <w:pPr>
        <w:spacing w:after="0"/>
        <w:jc w:val="both"/>
        <w:rPr>
          <w:sz w:val="20"/>
          <w:szCs w:val="20"/>
          <w:u w:val="single"/>
        </w:rPr>
      </w:pPr>
      <w:r w:rsidRPr="00F36DBC">
        <w:rPr>
          <w:sz w:val="20"/>
          <w:szCs w:val="20"/>
          <w:u w:val="single"/>
        </w:rPr>
        <w:t xml:space="preserve">2) Conditions for staying in the market </w:t>
      </w:r>
    </w:p>
    <w:p w:rsidR="00003A06" w:rsidRPr="00F36DBC" w:rsidRDefault="00003A06" w:rsidP="00B044F7">
      <w:pPr>
        <w:spacing w:after="0"/>
        <w:ind w:firstLine="708"/>
        <w:jc w:val="both"/>
        <w:rPr>
          <w:sz w:val="20"/>
          <w:szCs w:val="20"/>
        </w:rPr>
      </w:pPr>
    </w:p>
    <w:p w:rsidR="00003A06" w:rsidRPr="00F36DBC" w:rsidRDefault="00003A06" w:rsidP="00B044F7">
      <w:pPr>
        <w:spacing w:after="0"/>
        <w:jc w:val="both"/>
        <w:rPr>
          <w:sz w:val="20"/>
          <w:szCs w:val="20"/>
        </w:rPr>
      </w:pPr>
      <w:r w:rsidRPr="00F36DBC">
        <w:rPr>
          <w:sz w:val="20"/>
          <w:szCs w:val="20"/>
        </w:rPr>
        <w:t xml:space="preserve">There is no special condition to continue performing the activities of refining, processing, lube oil, storage, transmission, bunker delivery and transportation. However, to continue performing the distribution activities, there is the condition that the annual total sale to the vendors and users should not be below 60.000 tones.  </w:t>
      </w:r>
    </w:p>
    <w:p w:rsidR="00003A06" w:rsidRPr="00F36DBC" w:rsidRDefault="00003A06" w:rsidP="00B044F7">
      <w:pPr>
        <w:spacing w:after="0"/>
        <w:ind w:firstLine="708"/>
        <w:jc w:val="both"/>
        <w:rPr>
          <w:sz w:val="20"/>
          <w:szCs w:val="20"/>
        </w:rPr>
      </w:pPr>
    </w:p>
    <w:p w:rsidR="00003A06" w:rsidRPr="00F36DBC" w:rsidRDefault="00003A06" w:rsidP="00B044F7">
      <w:pPr>
        <w:spacing w:after="0"/>
        <w:jc w:val="both"/>
        <w:rPr>
          <w:sz w:val="20"/>
          <w:szCs w:val="20"/>
        </w:rPr>
      </w:pPr>
      <w:r w:rsidRPr="00F36DBC">
        <w:rPr>
          <w:sz w:val="20"/>
          <w:szCs w:val="20"/>
        </w:rPr>
        <w:t xml:space="preserve">To continue performing vendor activities, a contract should be made with the new distributor within 3 months as of the termination of the contract with the distributor. </w:t>
      </w:r>
    </w:p>
    <w:p w:rsidR="00003A06" w:rsidRPr="00F36DBC" w:rsidRDefault="00003A06" w:rsidP="00B044F7">
      <w:pPr>
        <w:spacing w:after="0"/>
        <w:ind w:firstLine="708"/>
        <w:jc w:val="both"/>
        <w:rPr>
          <w:sz w:val="20"/>
          <w:szCs w:val="20"/>
        </w:rPr>
      </w:pPr>
    </w:p>
    <w:p w:rsidR="00003A06" w:rsidRPr="00F36DBC" w:rsidRDefault="00003A06" w:rsidP="00B044F7">
      <w:pPr>
        <w:spacing w:after="0"/>
        <w:jc w:val="both"/>
        <w:rPr>
          <w:sz w:val="20"/>
          <w:szCs w:val="20"/>
        </w:rPr>
      </w:pPr>
      <w:r w:rsidRPr="00F36DBC">
        <w:rPr>
          <w:sz w:val="20"/>
          <w:szCs w:val="20"/>
        </w:rPr>
        <w:t xml:space="preserve">To continue being an eligible consumer, the consumed fuel should not be changed or the annual consumption amount should not be below 5.000 tones. </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u w:val="single"/>
        </w:rPr>
      </w:pPr>
      <w:r w:rsidRPr="00F36DBC">
        <w:rPr>
          <w:sz w:val="20"/>
          <w:szCs w:val="20"/>
          <w:u w:val="single"/>
        </w:rPr>
        <w:t xml:space="preserve">3) Conditions for exit from the market </w:t>
      </w:r>
    </w:p>
    <w:p w:rsidR="00003A06" w:rsidRPr="00F36DBC" w:rsidRDefault="00003A06" w:rsidP="00B044F7">
      <w:pPr>
        <w:spacing w:after="0"/>
        <w:jc w:val="both"/>
        <w:rPr>
          <w:sz w:val="20"/>
          <w:szCs w:val="20"/>
          <w:u w:val="single"/>
        </w:rPr>
      </w:pPr>
    </w:p>
    <w:p w:rsidR="00003A06" w:rsidRPr="00F36DBC" w:rsidRDefault="00003A06" w:rsidP="00B044F7">
      <w:pPr>
        <w:spacing w:after="0"/>
        <w:jc w:val="both"/>
        <w:rPr>
          <w:sz w:val="20"/>
          <w:szCs w:val="20"/>
        </w:rPr>
      </w:pPr>
      <w:r w:rsidRPr="00F36DBC">
        <w:rPr>
          <w:sz w:val="20"/>
          <w:szCs w:val="20"/>
        </w:rPr>
        <w:t xml:space="preserve">The licenses of </w:t>
      </w:r>
      <w:proofErr w:type="gramStart"/>
      <w:r w:rsidRPr="00F36DBC">
        <w:rPr>
          <w:sz w:val="20"/>
          <w:szCs w:val="20"/>
        </w:rPr>
        <w:t>processing,</w:t>
      </w:r>
      <w:proofErr w:type="gramEnd"/>
      <w:r w:rsidRPr="00F36DBC">
        <w:rPr>
          <w:sz w:val="20"/>
          <w:szCs w:val="20"/>
        </w:rPr>
        <w:t xml:space="preserve"> lube oil, bunker delivery, transportation, vendor activity and eligible consumer license holders are terminated directly upon the application of the related persons.  The licenses are also terminated ex-officio in cases of bankruptcy, termination of the license period and administrative sanctions.  The distributors have the liability of selling minimum 60.000 tones of white products (petrol, diesel oil) and in case this amount cannot be met, their licenses can be terminated upon Board’s decision.  The demands for license termination of the refining undertakings are decided by the Board following the hand-over of the facility pertaining to the national petroleum stock and the stock inventory and after the completion of the income accounting process and provided that the liabilities regarding the commitments entered into with third parties in the market are met and related documents are submitted to the Authority. </w:t>
      </w:r>
    </w:p>
    <w:p w:rsidR="00003A06" w:rsidRPr="00F36DBC" w:rsidRDefault="00003A06" w:rsidP="00B044F7">
      <w:pPr>
        <w:spacing w:after="0"/>
        <w:jc w:val="both"/>
        <w:rPr>
          <w:sz w:val="20"/>
          <w:szCs w:val="20"/>
        </w:rPr>
      </w:pPr>
    </w:p>
    <w:p w:rsidR="00003A06" w:rsidRPr="00F36DBC" w:rsidRDefault="00003A06" w:rsidP="00B044F7">
      <w:pPr>
        <w:spacing w:after="0"/>
        <w:jc w:val="both"/>
        <w:rPr>
          <w:b/>
          <w:sz w:val="20"/>
          <w:szCs w:val="20"/>
        </w:rPr>
      </w:pPr>
      <w:r w:rsidRPr="00F36DBC">
        <w:rPr>
          <w:b/>
          <w:sz w:val="20"/>
          <w:szCs w:val="20"/>
        </w:rPr>
        <w:t>License Fees</w:t>
      </w:r>
    </w:p>
    <w:p w:rsidR="00003A06" w:rsidRPr="00F36DBC" w:rsidRDefault="00003A06" w:rsidP="00B044F7">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20"/>
          <w:lang w:val="en-US"/>
        </w:rPr>
      </w:pPr>
      <w:r w:rsidRPr="00F36DBC">
        <w:rPr>
          <w:rFonts w:ascii="Calibri" w:hAnsi="Calibri" w:cs="Times New Roman"/>
          <w:sz w:val="20"/>
          <w:lang w:val="en-US"/>
        </w:rPr>
        <w:t xml:space="preserve">License, license modification, time extension (visa), license copy, tariff approval and liquid fuel trade permission fees  to be applied in </w:t>
      </w:r>
      <w:smartTag w:uri="urn:schemas-microsoft-com:office:smarttags" w:element="metricconverter">
        <w:smartTagPr>
          <w:attr w:name="ProductID" w:val="2007 in"/>
        </w:smartTagPr>
        <w:r w:rsidRPr="00F36DBC">
          <w:rPr>
            <w:rFonts w:ascii="Calibri" w:hAnsi="Calibri" w:cs="Times New Roman"/>
            <w:sz w:val="20"/>
            <w:lang w:val="en-US"/>
          </w:rPr>
          <w:t>2007 in</w:t>
        </w:r>
      </w:smartTag>
      <w:r w:rsidRPr="00F36DBC">
        <w:rPr>
          <w:rFonts w:ascii="Calibri" w:hAnsi="Calibri" w:cs="Times New Roman"/>
          <w:sz w:val="20"/>
          <w:lang w:val="en-US"/>
        </w:rPr>
        <w:t xml:space="preserve"> the petroleum market as follows;</w:t>
      </w:r>
    </w:p>
    <w:p w:rsidR="00B371A3" w:rsidRPr="00F36DBC" w:rsidRDefault="00B371A3" w:rsidP="00B044F7">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1170"/>
      </w:tblGrid>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center"/>
              <w:rPr>
                <w:rFonts w:ascii="Calibri" w:hAnsi="Calibri" w:cs="Times New Roman"/>
                <w:b/>
                <w:sz w:val="16"/>
                <w:szCs w:val="16"/>
                <w:lang w:val="en-US"/>
              </w:rPr>
            </w:pPr>
            <w:r w:rsidRPr="00AA0723">
              <w:rPr>
                <w:rFonts w:ascii="Calibri" w:hAnsi="Calibri" w:cs="Times New Roman"/>
                <w:b/>
                <w:sz w:val="16"/>
                <w:szCs w:val="16"/>
                <w:lang w:val="en-US"/>
              </w:rPr>
              <w:lastRenderedPageBreak/>
              <w:t>License Fees For:</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center"/>
              <w:rPr>
                <w:rFonts w:ascii="Calibri" w:hAnsi="Calibri" w:cs="Times New Roman"/>
                <w:b/>
                <w:sz w:val="16"/>
                <w:szCs w:val="16"/>
                <w:lang w:val="en-US"/>
              </w:rPr>
            </w:pPr>
            <w:r w:rsidRPr="00AA0723">
              <w:rPr>
                <w:rFonts w:ascii="Calibri" w:hAnsi="Calibri" w:cs="Times New Roman"/>
                <w:b/>
                <w:sz w:val="16"/>
                <w:szCs w:val="16"/>
                <w:lang w:val="en-US"/>
              </w:rPr>
              <w:t>TRY</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Refining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112.500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Distribution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 xml:space="preserve">75.000 </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Storage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7.500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Transmission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7.500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Bunker delivery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3.000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Processing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1.500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AA0723">
              <w:rPr>
                <w:rFonts w:ascii="Calibri" w:hAnsi="Calibri"/>
                <w:sz w:val="16"/>
                <w:szCs w:val="16"/>
              </w:rPr>
              <w:t>Lube oil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AA0723">
              <w:rPr>
                <w:rFonts w:ascii="Calibri" w:hAnsi="Calibri"/>
                <w:sz w:val="16"/>
                <w:szCs w:val="16"/>
              </w:rPr>
              <w:t>1.500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sz w:val="16"/>
                <w:szCs w:val="16"/>
              </w:rPr>
            </w:pPr>
            <w:r w:rsidRPr="00AA0723">
              <w:rPr>
                <w:rFonts w:ascii="Calibri" w:hAnsi="Calibri"/>
                <w:sz w:val="16"/>
                <w:szCs w:val="16"/>
              </w:rPr>
              <w:t>Eligible consumer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AA0723">
              <w:rPr>
                <w:rFonts w:ascii="Calibri" w:hAnsi="Calibri"/>
                <w:sz w:val="16"/>
                <w:szCs w:val="16"/>
              </w:rPr>
              <w:t>1.500</w:t>
            </w:r>
          </w:p>
        </w:tc>
      </w:tr>
      <w:tr w:rsidR="00B371A3" w:rsidRPr="00F36DBC" w:rsidTr="00E64869">
        <w:tc>
          <w:tcPr>
            <w:tcW w:w="3168" w:type="dxa"/>
          </w:tcPr>
          <w:p w:rsidR="00B371A3" w:rsidRPr="00AA0723" w:rsidRDefault="00B371A3" w:rsidP="00E64869">
            <w:pPr>
              <w:spacing w:after="0"/>
              <w:rPr>
                <w:sz w:val="16"/>
                <w:szCs w:val="16"/>
              </w:rPr>
            </w:pPr>
            <w:r w:rsidRPr="00AA0723">
              <w:rPr>
                <w:sz w:val="16"/>
                <w:szCs w:val="16"/>
              </w:rPr>
              <w:t>Transportation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180"/>
                <w:tab w:val="left" w:pos="1080"/>
              </w:tabs>
              <w:spacing w:before="0" w:after="0" w:line="276" w:lineRule="auto"/>
              <w:ind w:left="0" w:firstLine="180"/>
              <w:rPr>
                <w:rFonts w:ascii="Calibri" w:hAnsi="Calibri"/>
                <w:sz w:val="16"/>
                <w:szCs w:val="16"/>
              </w:rPr>
            </w:pPr>
            <w:r w:rsidRPr="00AA0723">
              <w:rPr>
                <w:rFonts w:ascii="Calibri" w:hAnsi="Calibri"/>
                <w:sz w:val="16"/>
                <w:szCs w:val="16"/>
              </w:rPr>
              <w:t>Per vehicle for motorways</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AA0723">
              <w:rPr>
                <w:rFonts w:ascii="Calibri" w:hAnsi="Calibri"/>
                <w:sz w:val="16"/>
                <w:szCs w:val="16"/>
              </w:rPr>
              <w:t>-</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180"/>
                <w:tab w:val="left" w:pos="1080"/>
              </w:tabs>
              <w:spacing w:before="0" w:after="0" w:line="276" w:lineRule="auto"/>
              <w:ind w:left="0" w:firstLine="180"/>
              <w:rPr>
                <w:rFonts w:ascii="Calibri" w:hAnsi="Calibri"/>
                <w:sz w:val="16"/>
                <w:szCs w:val="16"/>
              </w:rPr>
            </w:pPr>
            <w:r w:rsidRPr="00AA0723">
              <w:rPr>
                <w:rFonts w:ascii="Calibri" w:hAnsi="Calibri"/>
                <w:sz w:val="16"/>
                <w:szCs w:val="16"/>
              </w:rPr>
              <w:t>Per carriage for railways</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AA0723">
              <w:rPr>
                <w:rFonts w:ascii="Calibri" w:hAnsi="Calibri"/>
                <w:sz w:val="16"/>
                <w:szCs w:val="16"/>
              </w:rPr>
              <w:t>75</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180"/>
                <w:tab w:val="left" w:pos="1080"/>
              </w:tabs>
              <w:spacing w:before="0" w:after="0" w:line="276" w:lineRule="auto"/>
              <w:ind w:left="0" w:firstLine="180"/>
              <w:rPr>
                <w:rFonts w:ascii="Calibri" w:hAnsi="Calibri"/>
                <w:sz w:val="16"/>
                <w:szCs w:val="16"/>
              </w:rPr>
            </w:pPr>
            <w:r w:rsidRPr="00AA0723">
              <w:rPr>
                <w:rFonts w:ascii="Calibri" w:hAnsi="Calibri"/>
                <w:sz w:val="16"/>
                <w:szCs w:val="16"/>
              </w:rPr>
              <w:t>Per ship for seaways</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AA0723">
              <w:rPr>
                <w:rFonts w:ascii="Calibri" w:hAnsi="Calibri"/>
                <w:sz w:val="16"/>
                <w:szCs w:val="16"/>
              </w:rPr>
              <w:t>1.500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180"/>
                <w:tab w:val="left" w:pos="1080"/>
              </w:tabs>
              <w:spacing w:before="0" w:after="0" w:line="276" w:lineRule="auto"/>
              <w:ind w:left="0" w:firstLine="180"/>
              <w:rPr>
                <w:rFonts w:ascii="Calibri" w:hAnsi="Calibri"/>
                <w:sz w:val="16"/>
                <w:szCs w:val="16"/>
              </w:rPr>
            </w:pPr>
            <w:r w:rsidRPr="00AA0723">
              <w:rPr>
                <w:rFonts w:ascii="Calibri" w:hAnsi="Calibri"/>
                <w:sz w:val="16"/>
                <w:szCs w:val="16"/>
              </w:rPr>
              <w:t>Vendor activity license</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AA0723">
              <w:rPr>
                <w:rFonts w:ascii="Calibri" w:hAnsi="Calibri"/>
                <w:sz w:val="16"/>
                <w:szCs w:val="16"/>
              </w:rPr>
              <w:t>1.000</w:t>
            </w:r>
          </w:p>
        </w:tc>
      </w:tr>
      <w:tr w:rsidR="00B371A3" w:rsidRPr="00F36DBC" w:rsidTr="00E64869">
        <w:tc>
          <w:tcPr>
            <w:tcW w:w="3168" w:type="dxa"/>
          </w:tcPr>
          <w:p w:rsidR="00B371A3" w:rsidRPr="00AA0723" w:rsidRDefault="00B371A3" w:rsidP="00E64869">
            <w:pPr>
              <w:pStyle w:val="partext"/>
              <w:tabs>
                <w:tab w:val="clear" w:pos="1440"/>
                <w:tab w:val="clear" w:pos="1985"/>
                <w:tab w:val="clear" w:pos="2700"/>
                <w:tab w:val="clear" w:pos="2880"/>
                <w:tab w:val="left" w:pos="180"/>
                <w:tab w:val="left" w:pos="1080"/>
              </w:tabs>
              <w:spacing w:before="0" w:after="0" w:line="276" w:lineRule="auto"/>
              <w:ind w:left="0" w:firstLine="0"/>
              <w:rPr>
                <w:rFonts w:ascii="Calibri" w:hAnsi="Calibri"/>
                <w:sz w:val="16"/>
                <w:szCs w:val="16"/>
              </w:rPr>
            </w:pPr>
            <w:r w:rsidRPr="00AA0723">
              <w:rPr>
                <w:rFonts w:ascii="Calibri" w:hAnsi="Calibri"/>
                <w:sz w:val="16"/>
                <w:szCs w:val="16"/>
              </w:rPr>
              <w:t>License copy</w:t>
            </w:r>
          </w:p>
        </w:tc>
        <w:tc>
          <w:tcPr>
            <w:tcW w:w="1170" w:type="dxa"/>
          </w:tcPr>
          <w:p w:rsidR="00B371A3" w:rsidRPr="00AA0723" w:rsidRDefault="00B371A3" w:rsidP="00E64869">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AA0723">
              <w:rPr>
                <w:rFonts w:ascii="Calibri" w:hAnsi="Calibri"/>
                <w:sz w:val="16"/>
                <w:szCs w:val="16"/>
              </w:rPr>
              <w:t>150</w:t>
            </w:r>
          </w:p>
        </w:tc>
      </w:tr>
    </w:tbl>
    <w:p w:rsidR="00003A06" w:rsidRPr="00F36DBC" w:rsidRDefault="00003A06" w:rsidP="00B044F7">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1800"/>
      </w:tblGrid>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center"/>
              <w:rPr>
                <w:rFonts w:ascii="Calibri" w:hAnsi="Calibri" w:cs="Times New Roman"/>
                <w:b/>
                <w:sz w:val="16"/>
                <w:szCs w:val="16"/>
                <w:lang w:val="en-US"/>
              </w:rPr>
            </w:pPr>
            <w:r w:rsidRPr="00E67DAB">
              <w:rPr>
                <w:rFonts w:ascii="Calibri" w:hAnsi="Calibri"/>
                <w:b/>
                <w:sz w:val="16"/>
                <w:szCs w:val="16"/>
              </w:rPr>
              <w:t>License modification:</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center"/>
              <w:rPr>
                <w:rFonts w:ascii="Calibri" w:hAnsi="Calibri" w:cs="Times New Roman"/>
                <w:b/>
                <w:sz w:val="16"/>
                <w:szCs w:val="16"/>
                <w:lang w:val="en-US"/>
              </w:rPr>
            </w:pP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Refining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2 % of the license fee</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Distribution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2 % of the license fee</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Storage license</w:t>
            </w:r>
          </w:p>
        </w:tc>
        <w:tc>
          <w:tcPr>
            <w:tcW w:w="1800" w:type="dxa"/>
          </w:tcPr>
          <w:p w:rsidR="00E67DAB" w:rsidRPr="00E67DAB" w:rsidRDefault="00E67DAB" w:rsidP="00E67DAB">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1.000.- TRY</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Transmission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Processing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Lube oil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cs="Times New Roman"/>
                <w:sz w:val="16"/>
                <w:szCs w:val="16"/>
                <w:lang w:val="en-US"/>
              </w:rPr>
            </w:pPr>
            <w:r w:rsidRPr="00E67DAB">
              <w:rPr>
                <w:rFonts w:ascii="Calibri" w:hAnsi="Calibri"/>
                <w:sz w:val="16"/>
                <w:szCs w:val="16"/>
              </w:rPr>
              <w:t>Eligible consumer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cs="Times New Roman"/>
                <w:sz w:val="16"/>
                <w:szCs w:val="16"/>
                <w:lang w:val="en-US"/>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rPr>
                <w:rFonts w:ascii="Calibri" w:hAnsi="Calibri"/>
                <w:sz w:val="16"/>
                <w:szCs w:val="16"/>
              </w:rPr>
            </w:pPr>
            <w:r w:rsidRPr="00E67DAB">
              <w:rPr>
                <w:rFonts w:ascii="Calibri" w:hAnsi="Calibri"/>
                <w:sz w:val="16"/>
                <w:szCs w:val="16"/>
              </w:rPr>
              <w:t>Bunker delivery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F06ECF">
            <w:pPr>
              <w:spacing w:after="0"/>
              <w:rPr>
                <w:sz w:val="16"/>
                <w:szCs w:val="16"/>
              </w:rPr>
            </w:pPr>
            <w:r w:rsidRPr="00E67DAB">
              <w:rPr>
                <w:sz w:val="16"/>
                <w:szCs w:val="16"/>
              </w:rPr>
              <w:t>Transportation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E67DAB">
            <w:pPr>
              <w:pStyle w:val="partext"/>
              <w:tabs>
                <w:tab w:val="clear" w:pos="1440"/>
                <w:tab w:val="clear" w:pos="1985"/>
                <w:tab w:val="clear" w:pos="2700"/>
                <w:tab w:val="clear" w:pos="2880"/>
                <w:tab w:val="left" w:pos="180"/>
                <w:tab w:val="left" w:pos="1080"/>
              </w:tabs>
              <w:spacing w:before="0" w:after="0" w:line="276" w:lineRule="auto"/>
              <w:ind w:left="0" w:firstLine="0"/>
              <w:rPr>
                <w:rFonts w:ascii="Calibri" w:hAnsi="Calibri"/>
                <w:sz w:val="16"/>
                <w:szCs w:val="16"/>
              </w:rPr>
            </w:pPr>
            <w:r w:rsidRPr="00E67DAB">
              <w:rPr>
                <w:rFonts w:ascii="Calibri" w:hAnsi="Calibri"/>
                <w:sz w:val="16"/>
                <w:szCs w:val="16"/>
              </w:rPr>
              <w:t>Vendor activity license</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E67DAB">
              <w:rPr>
                <w:rFonts w:ascii="Calibri" w:hAnsi="Calibri"/>
                <w:sz w:val="16"/>
                <w:szCs w:val="16"/>
              </w:rPr>
              <w:t xml:space="preserve">1.000.- </w:t>
            </w:r>
            <w:r>
              <w:rPr>
                <w:rFonts w:ascii="Calibri" w:hAnsi="Calibri"/>
                <w:sz w:val="16"/>
                <w:szCs w:val="16"/>
              </w:rPr>
              <w:t>TRY</w:t>
            </w:r>
          </w:p>
        </w:tc>
      </w:tr>
      <w:tr w:rsidR="00E67DAB" w:rsidRPr="00E67DAB" w:rsidTr="00E67DAB">
        <w:tc>
          <w:tcPr>
            <w:tcW w:w="4068" w:type="dxa"/>
          </w:tcPr>
          <w:p w:rsidR="00E67DAB" w:rsidRPr="00E67DAB" w:rsidRDefault="00E67DAB" w:rsidP="00E67DAB">
            <w:pPr>
              <w:pStyle w:val="partext"/>
              <w:tabs>
                <w:tab w:val="clear" w:pos="1440"/>
                <w:tab w:val="clear" w:pos="1985"/>
                <w:tab w:val="clear" w:pos="2700"/>
                <w:tab w:val="clear" w:pos="2880"/>
                <w:tab w:val="left" w:pos="180"/>
                <w:tab w:val="left" w:pos="1080"/>
              </w:tabs>
              <w:spacing w:before="0" w:after="0" w:line="276" w:lineRule="auto"/>
              <w:ind w:left="0" w:firstLine="0"/>
              <w:rPr>
                <w:rFonts w:ascii="Calibri" w:hAnsi="Calibri"/>
                <w:sz w:val="16"/>
                <w:szCs w:val="16"/>
              </w:rPr>
            </w:pPr>
            <w:r w:rsidRPr="00E67DAB">
              <w:rPr>
                <w:rFonts w:ascii="Calibri" w:hAnsi="Calibri"/>
                <w:sz w:val="16"/>
                <w:szCs w:val="16"/>
              </w:rPr>
              <w:t>Time extension (visa</w:t>
            </w:r>
            <w:r w:rsidRPr="00E67DAB">
              <w:rPr>
                <w:rFonts w:ascii="Calibri" w:hAnsi="Calibri"/>
                <w:b/>
                <w:sz w:val="16"/>
                <w:szCs w:val="16"/>
              </w:rPr>
              <w:t>)</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E67DAB">
              <w:rPr>
                <w:rFonts w:ascii="Calibri" w:hAnsi="Calibri"/>
                <w:sz w:val="16"/>
                <w:szCs w:val="16"/>
              </w:rPr>
              <w:t>50% of the license fee</w:t>
            </w:r>
          </w:p>
        </w:tc>
      </w:tr>
      <w:tr w:rsidR="00E67DAB" w:rsidRPr="00E67DAB" w:rsidTr="00E67DAB">
        <w:tc>
          <w:tcPr>
            <w:tcW w:w="4068" w:type="dxa"/>
          </w:tcPr>
          <w:p w:rsidR="00E67DAB" w:rsidRPr="00E67DAB" w:rsidRDefault="00E67DAB" w:rsidP="00E67DAB">
            <w:pPr>
              <w:pStyle w:val="partext"/>
              <w:tabs>
                <w:tab w:val="clear" w:pos="1440"/>
                <w:tab w:val="clear" w:pos="1985"/>
                <w:tab w:val="clear" w:pos="2700"/>
                <w:tab w:val="clear" w:pos="2880"/>
                <w:tab w:val="left" w:pos="180"/>
                <w:tab w:val="left" w:pos="1080"/>
              </w:tabs>
              <w:spacing w:before="0" w:after="0" w:line="276" w:lineRule="auto"/>
              <w:ind w:left="0" w:firstLine="0"/>
              <w:jc w:val="left"/>
              <w:rPr>
                <w:rFonts w:ascii="Calibri" w:hAnsi="Calibri"/>
                <w:sz w:val="16"/>
                <w:szCs w:val="16"/>
              </w:rPr>
            </w:pPr>
            <w:r w:rsidRPr="00E67DAB">
              <w:rPr>
                <w:rFonts w:ascii="Calibri" w:hAnsi="Calibri"/>
                <w:sz w:val="16"/>
                <w:szCs w:val="16"/>
              </w:rPr>
              <w:t xml:space="preserve">Trade of liquid fuel permit among distribution licensees    </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E67DAB">
              <w:rPr>
                <w:rFonts w:ascii="Calibri" w:hAnsi="Calibri"/>
                <w:sz w:val="16"/>
                <w:szCs w:val="16"/>
              </w:rPr>
              <w:t xml:space="preserve">            0.- </w:t>
            </w:r>
            <w:r>
              <w:rPr>
                <w:rFonts w:ascii="Calibri" w:hAnsi="Calibri"/>
                <w:sz w:val="16"/>
                <w:szCs w:val="16"/>
              </w:rPr>
              <w:t>TRY</w:t>
            </w:r>
          </w:p>
        </w:tc>
      </w:tr>
      <w:tr w:rsidR="00E67DAB" w:rsidRPr="00E67DAB" w:rsidTr="00E67DAB">
        <w:tc>
          <w:tcPr>
            <w:tcW w:w="4068" w:type="dxa"/>
          </w:tcPr>
          <w:p w:rsidR="00E67DAB" w:rsidRPr="00E67DAB" w:rsidRDefault="00E67DAB" w:rsidP="00E67DAB">
            <w:pPr>
              <w:pStyle w:val="partext"/>
              <w:tabs>
                <w:tab w:val="clear" w:pos="1440"/>
                <w:tab w:val="clear" w:pos="1985"/>
                <w:tab w:val="clear" w:pos="2700"/>
                <w:tab w:val="clear" w:pos="2880"/>
                <w:tab w:val="left" w:pos="180"/>
                <w:tab w:val="left" w:pos="1080"/>
              </w:tabs>
              <w:spacing w:before="0" w:after="0" w:line="276" w:lineRule="auto"/>
              <w:ind w:left="0" w:firstLine="0"/>
              <w:rPr>
                <w:rFonts w:ascii="Calibri" w:hAnsi="Calibri"/>
                <w:sz w:val="16"/>
                <w:szCs w:val="16"/>
              </w:rPr>
            </w:pPr>
            <w:r w:rsidRPr="00E67DAB">
              <w:rPr>
                <w:rFonts w:ascii="Calibri" w:hAnsi="Calibri"/>
                <w:sz w:val="16"/>
                <w:szCs w:val="16"/>
              </w:rPr>
              <w:t>Tariff approval</w:t>
            </w:r>
          </w:p>
        </w:tc>
        <w:tc>
          <w:tcPr>
            <w:tcW w:w="1800" w:type="dxa"/>
          </w:tcPr>
          <w:p w:rsidR="00E67DAB" w:rsidRPr="00E67DAB" w:rsidRDefault="00E67DAB" w:rsidP="00F06ECF">
            <w:pPr>
              <w:pStyle w:val="partext"/>
              <w:tabs>
                <w:tab w:val="clear" w:pos="1440"/>
                <w:tab w:val="clear" w:pos="1985"/>
                <w:tab w:val="clear" w:pos="2700"/>
                <w:tab w:val="clear" w:pos="2880"/>
                <w:tab w:val="left" w:pos="0"/>
                <w:tab w:val="left" w:pos="1080"/>
              </w:tabs>
              <w:spacing w:before="0" w:after="0" w:line="276" w:lineRule="auto"/>
              <w:ind w:left="0" w:firstLine="0"/>
              <w:jc w:val="right"/>
              <w:rPr>
                <w:rFonts w:ascii="Calibri" w:hAnsi="Calibri"/>
                <w:sz w:val="16"/>
                <w:szCs w:val="16"/>
              </w:rPr>
            </w:pPr>
            <w:r w:rsidRPr="00E67DAB">
              <w:rPr>
                <w:rFonts w:ascii="Calibri" w:hAnsi="Calibri"/>
                <w:sz w:val="16"/>
                <w:szCs w:val="16"/>
              </w:rPr>
              <w:t xml:space="preserve">0.- </w:t>
            </w:r>
            <w:r>
              <w:rPr>
                <w:rFonts w:ascii="Calibri" w:hAnsi="Calibri"/>
                <w:sz w:val="16"/>
                <w:szCs w:val="16"/>
              </w:rPr>
              <w:t>TRY</w:t>
            </w:r>
          </w:p>
        </w:tc>
      </w:tr>
    </w:tbl>
    <w:p w:rsidR="00003A06" w:rsidRPr="00F36DBC" w:rsidRDefault="00003A06" w:rsidP="00B044F7">
      <w:pPr>
        <w:spacing w:after="0"/>
        <w:jc w:val="both"/>
        <w:rPr>
          <w:b/>
          <w:sz w:val="20"/>
          <w:szCs w:val="20"/>
        </w:rPr>
      </w:pPr>
    </w:p>
    <w:p w:rsidR="00003A06" w:rsidRPr="00F36DBC" w:rsidRDefault="00003A06" w:rsidP="00B044F7">
      <w:pPr>
        <w:spacing w:after="0"/>
        <w:jc w:val="both"/>
        <w:rPr>
          <w:b/>
          <w:sz w:val="20"/>
          <w:szCs w:val="20"/>
        </w:rPr>
      </w:pPr>
      <w:r w:rsidRPr="00F36DBC">
        <w:rPr>
          <w:b/>
          <w:sz w:val="20"/>
          <w:szCs w:val="20"/>
        </w:rPr>
        <w:t>Participation Fee</w:t>
      </w:r>
    </w:p>
    <w:p w:rsidR="00003A06" w:rsidRPr="00F36DBC" w:rsidRDefault="00003A06" w:rsidP="00B044F7">
      <w:pPr>
        <w:spacing w:after="0"/>
        <w:ind w:right="-108"/>
        <w:jc w:val="both"/>
        <w:rPr>
          <w:sz w:val="20"/>
          <w:szCs w:val="20"/>
        </w:rPr>
      </w:pPr>
      <w:r w:rsidRPr="00F36DBC">
        <w:rPr>
          <w:sz w:val="20"/>
          <w:szCs w:val="20"/>
        </w:rPr>
        <w:t xml:space="preserve">The </w:t>
      </w:r>
      <w:r w:rsidRPr="00F36DBC">
        <w:rPr>
          <w:b/>
          <w:sz w:val="20"/>
          <w:szCs w:val="20"/>
        </w:rPr>
        <w:t>participation fee</w:t>
      </w:r>
      <w:r w:rsidRPr="00F36DBC">
        <w:rPr>
          <w:sz w:val="20"/>
          <w:szCs w:val="20"/>
        </w:rPr>
        <w:t xml:space="preserve"> for 2007, the legal persons holding refining, processing, distribution, transmission, bunker delivery and storage licenses are liable to pay has been determined as 0.1% of the net sales related to the market activities performed within the scope of the license shown in the annual income sheets. The participation fee for 2007, the real and legal persons holding transportation, vendor activity and lube oil licenses are liable to pay has been determined as 0 (zero) including the subtitles. </w:t>
      </w:r>
    </w:p>
    <w:p w:rsidR="00003A06" w:rsidRPr="00F36DBC" w:rsidRDefault="00003A06" w:rsidP="00B044F7">
      <w:pPr>
        <w:spacing w:after="0"/>
        <w:jc w:val="both"/>
        <w:rPr>
          <w:b/>
          <w:sz w:val="20"/>
          <w:szCs w:val="20"/>
        </w:rPr>
      </w:pPr>
    </w:p>
    <w:p w:rsidR="00003A06" w:rsidRPr="00F36DBC" w:rsidRDefault="00003A06" w:rsidP="00B044F7">
      <w:pPr>
        <w:spacing w:after="0"/>
        <w:jc w:val="both"/>
        <w:rPr>
          <w:b/>
          <w:sz w:val="20"/>
          <w:szCs w:val="20"/>
        </w:rPr>
      </w:pPr>
      <w:r w:rsidRPr="00F36DBC">
        <w:rPr>
          <w:b/>
          <w:sz w:val="20"/>
          <w:szCs w:val="20"/>
        </w:rPr>
        <w:t>Permissions</w:t>
      </w:r>
    </w:p>
    <w:p w:rsidR="00003A06" w:rsidRPr="00F36DBC" w:rsidRDefault="00003A06" w:rsidP="00B044F7">
      <w:pPr>
        <w:spacing w:after="0"/>
        <w:jc w:val="both"/>
        <w:rPr>
          <w:sz w:val="20"/>
          <w:szCs w:val="20"/>
        </w:rPr>
      </w:pPr>
      <w:r w:rsidRPr="00F36DBC">
        <w:rPr>
          <w:sz w:val="20"/>
          <w:szCs w:val="20"/>
        </w:rPr>
        <w:t xml:space="preserve">Permission should be taken from EMRA for liquid fuel trade among the distributors in the petroleum market and for the import of petroleum deemed as product other than liquid fuel.  </w:t>
      </w:r>
    </w:p>
    <w:p w:rsidR="00CE46B8" w:rsidRPr="00F36DBC" w:rsidRDefault="00CE46B8" w:rsidP="00CE46B8">
      <w:pPr>
        <w:spacing w:after="0"/>
        <w:jc w:val="both"/>
        <w:rPr>
          <w:sz w:val="20"/>
          <w:szCs w:val="20"/>
        </w:rPr>
      </w:pPr>
    </w:p>
    <w:p w:rsidR="00003A06" w:rsidRPr="00F36DBC" w:rsidRDefault="00003A06" w:rsidP="00CE46B8">
      <w:pPr>
        <w:spacing w:after="0"/>
        <w:jc w:val="both"/>
        <w:rPr>
          <w:b/>
          <w:sz w:val="20"/>
          <w:szCs w:val="20"/>
        </w:rPr>
      </w:pPr>
      <w:r w:rsidRPr="00F36DBC">
        <w:rPr>
          <w:b/>
          <w:sz w:val="20"/>
          <w:szCs w:val="20"/>
          <w:u w:val="single"/>
        </w:rPr>
        <w:t>1)  Permission for trade among distributors</w:t>
      </w:r>
      <w:r w:rsidRPr="00F36DBC">
        <w:rPr>
          <w:b/>
          <w:sz w:val="20"/>
          <w:szCs w:val="20"/>
        </w:rPr>
        <w:t>:</w:t>
      </w:r>
    </w:p>
    <w:p w:rsidR="00003A06" w:rsidRPr="00F36DBC" w:rsidRDefault="00003A06" w:rsidP="00B044F7">
      <w:pPr>
        <w:spacing w:after="0"/>
        <w:jc w:val="both"/>
        <w:rPr>
          <w:sz w:val="20"/>
          <w:szCs w:val="20"/>
        </w:rPr>
      </w:pPr>
      <w:r w:rsidRPr="00F36DBC">
        <w:rPr>
          <w:sz w:val="20"/>
          <w:szCs w:val="20"/>
        </w:rPr>
        <w:t>The distributors are obliged to get permission form EMRA to do liquid fuel trade among each other. The permission is granted for three-month periods stating the type and amount of the liquid fuel and the place and term of the trade. The issue has been regulated by Board’s Decision.</w:t>
      </w:r>
    </w:p>
    <w:p w:rsidR="00CE46B8" w:rsidRPr="00F36DBC" w:rsidRDefault="00CE46B8" w:rsidP="00CE46B8">
      <w:pPr>
        <w:spacing w:after="0"/>
        <w:jc w:val="both"/>
        <w:rPr>
          <w:sz w:val="20"/>
          <w:szCs w:val="20"/>
        </w:rPr>
      </w:pPr>
    </w:p>
    <w:p w:rsidR="00003A06" w:rsidRPr="00F36DBC" w:rsidRDefault="00003A06" w:rsidP="00CE46B8">
      <w:pPr>
        <w:spacing w:after="0"/>
        <w:jc w:val="both"/>
        <w:rPr>
          <w:b/>
          <w:sz w:val="20"/>
          <w:szCs w:val="20"/>
          <w:u w:val="single"/>
        </w:rPr>
      </w:pPr>
      <w:r w:rsidRPr="00F36DBC">
        <w:rPr>
          <w:b/>
          <w:sz w:val="20"/>
          <w:szCs w:val="20"/>
          <w:u w:val="single"/>
        </w:rPr>
        <w:t xml:space="preserve">2)  Import of products other than liquid fuel: </w:t>
      </w:r>
    </w:p>
    <w:p w:rsidR="00003A06" w:rsidRPr="00F36DBC" w:rsidRDefault="00003A06" w:rsidP="00B044F7">
      <w:pPr>
        <w:spacing w:after="0"/>
        <w:jc w:val="both"/>
        <w:rPr>
          <w:sz w:val="20"/>
          <w:szCs w:val="20"/>
        </w:rPr>
      </w:pPr>
      <w:r w:rsidRPr="00F36DBC">
        <w:rPr>
          <w:sz w:val="20"/>
          <w:szCs w:val="20"/>
        </w:rPr>
        <w:t xml:space="preserve">The materials taken under the scope of the “Communiqué Regarding the Import of Solvent and Some Petroleum Products” determined by EMRA and issued annually by the Undersecretariat for Foreign Trade, are evaluated by EMRA according to a formula and taking as a base the capacity and expertise reports and are given certificate of compliance. </w:t>
      </w:r>
    </w:p>
    <w:p w:rsidR="00003A06" w:rsidRPr="00F36DBC" w:rsidRDefault="00003A06" w:rsidP="00B044F7">
      <w:pPr>
        <w:spacing w:after="0"/>
        <w:jc w:val="both"/>
        <w:rPr>
          <w:sz w:val="20"/>
          <w:szCs w:val="20"/>
        </w:rPr>
      </w:pPr>
    </w:p>
    <w:p w:rsidR="00E67DAB" w:rsidRDefault="00E67DAB" w:rsidP="00B044F7">
      <w:pPr>
        <w:spacing w:after="0"/>
        <w:jc w:val="both"/>
        <w:rPr>
          <w:b/>
          <w:sz w:val="20"/>
          <w:szCs w:val="20"/>
        </w:rPr>
      </w:pPr>
    </w:p>
    <w:p w:rsidR="00003A06" w:rsidRPr="00F36DBC" w:rsidRDefault="00003A06" w:rsidP="00B044F7">
      <w:pPr>
        <w:spacing w:after="0"/>
        <w:jc w:val="both"/>
        <w:rPr>
          <w:b/>
          <w:sz w:val="20"/>
          <w:szCs w:val="20"/>
        </w:rPr>
      </w:pPr>
      <w:r w:rsidRPr="00F36DBC">
        <w:rPr>
          <w:b/>
          <w:sz w:val="20"/>
          <w:szCs w:val="20"/>
        </w:rPr>
        <w:lastRenderedPageBreak/>
        <w:t>Operations Subject to Approval</w:t>
      </w:r>
    </w:p>
    <w:p w:rsidR="00003A06" w:rsidRPr="00F36DBC" w:rsidRDefault="00003A06" w:rsidP="00B044F7">
      <w:pPr>
        <w:spacing w:after="0"/>
        <w:jc w:val="both"/>
        <w:rPr>
          <w:b/>
          <w:sz w:val="20"/>
          <w:szCs w:val="20"/>
        </w:rPr>
      </w:pPr>
      <w:r w:rsidRPr="00F36DBC">
        <w:rPr>
          <w:sz w:val="20"/>
          <w:szCs w:val="20"/>
        </w:rPr>
        <w:t xml:space="preserve">The service tariffs of transmission facilities and the connected storage facilities (providing service to the third parties) should be approved by EMRA in order to be implemented.  The approval period is a calendar year and in case the tariff proposals are not accepted, the proposal is rejected and the implementation of the current tariff is carried on. </w:t>
      </w:r>
    </w:p>
    <w:p w:rsidR="00003A06" w:rsidRPr="00F36DBC" w:rsidRDefault="00003A06" w:rsidP="00B044F7">
      <w:pPr>
        <w:spacing w:after="0"/>
        <w:jc w:val="both"/>
        <w:rPr>
          <w:b/>
          <w:sz w:val="20"/>
          <w:szCs w:val="20"/>
        </w:rPr>
      </w:pPr>
    </w:p>
    <w:p w:rsidR="00003A06" w:rsidRPr="00F36DBC" w:rsidRDefault="00003A06" w:rsidP="00B044F7">
      <w:pPr>
        <w:spacing w:after="0"/>
        <w:jc w:val="both"/>
        <w:rPr>
          <w:b/>
          <w:sz w:val="20"/>
          <w:szCs w:val="20"/>
        </w:rPr>
      </w:pPr>
      <w:r w:rsidRPr="00F36DBC">
        <w:rPr>
          <w:b/>
          <w:sz w:val="20"/>
          <w:szCs w:val="20"/>
        </w:rPr>
        <w:t>Pricing</w:t>
      </w:r>
    </w:p>
    <w:p w:rsidR="00003A06" w:rsidRPr="00F36DBC" w:rsidRDefault="00003A06" w:rsidP="00B044F7">
      <w:pPr>
        <w:spacing w:after="0"/>
        <w:jc w:val="both"/>
        <w:rPr>
          <w:sz w:val="20"/>
          <w:szCs w:val="20"/>
        </w:rPr>
      </w:pPr>
      <w:r w:rsidRPr="00F36DBC">
        <w:rPr>
          <w:sz w:val="20"/>
          <w:szCs w:val="20"/>
        </w:rPr>
        <w:t>Except for the tariffs subject to approval, price of the goods and services in the market are constituted in the free market conditions on the basis of “tariff”. For the processing and the licensed storage activities not connected to transmission lines “fixed” tariffs are applied; for refining undertaking and distributor licensees’ “price cap” tariffs are applied</w:t>
      </w:r>
      <w:r w:rsidR="00CE46B8" w:rsidRPr="00F36DBC">
        <w:rPr>
          <w:sz w:val="20"/>
          <w:szCs w:val="20"/>
        </w:rPr>
        <w:t>. The vendors with stations can</w:t>
      </w:r>
      <w:r w:rsidRPr="00F36DBC">
        <w:rPr>
          <w:sz w:val="20"/>
          <w:szCs w:val="20"/>
        </w:rPr>
        <w:t xml:space="preserve">not do sale over the price shown on their boards. The price disputes on domestic crude oil among the refining undertakings and producers of crude oil are settled in a binding way under the arbitration of the Authority within maximum thirty days.  </w:t>
      </w:r>
    </w:p>
    <w:p w:rsidR="00003A06" w:rsidRPr="00F36DBC" w:rsidRDefault="00003A06" w:rsidP="00B044F7">
      <w:pPr>
        <w:spacing w:after="0"/>
        <w:jc w:val="both"/>
        <w:rPr>
          <w:sz w:val="20"/>
          <w:szCs w:val="20"/>
        </w:rPr>
      </w:pPr>
    </w:p>
    <w:p w:rsidR="00003A06" w:rsidRPr="00F36DBC" w:rsidRDefault="00003A06" w:rsidP="00B044F7">
      <w:pPr>
        <w:spacing w:after="0"/>
        <w:outlineLvl w:val="0"/>
        <w:rPr>
          <w:b/>
          <w:bCs/>
          <w:sz w:val="20"/>
          <w:szCs w:val="20"/>
        </w:rPr>
      </w:pPr>
      <w:r w:rsidRPr="00F36DBC">
        <w:rPr>
          <w:b/>
          <w:bCs/>
          <w:sz w:val="20"/>
          <w:szCs w:val="20"/>
        </w:rPr>
        <w:t xml:space="preserve">Implementation of National Marker </w:t>
      </w:r>
    </w:p>
    <w:p w:rsidR="00003A06" w:rsidRPr="00F36DBC" w:rsidRDefault="00003A06" w:rsidP="00B044F7">
      <w:pPr>
        <w:spacing w:after="0"/>
        <w:jc w:val="both"/>
        <w:rPr>
          <w:sz w:val="20"/>
          <w:szCs w:val="20"/>
        </w:rPr>
      </w:pPr>
      <w:r w:rsidRPr="00F36DBC">
        <w:rPr>
          <w:sz w:val="20"/>
          <w:szCs w:val="20"/>
        </w:rPr>
        <w:t>Within the scope of the Article 18 of the Petroleum Market Law No:</w:t>
      </w:r>
      <w:r w:rsidR="00CE46B8" w:rsidRPr="00F36DBC">
        <w:rPr>
          <w:sz w:val="20"/>
          <w:szCs w:val="20"/>
        </w:rPr>
        <w:t xml:space="preserve"> </w:t>
      </w:r>
      <w:r w:rsidRPr="00F36DBC">
        <w:rPr>
          <w:sz w:val="20"/>
          <w:szCs w:val="20"/>
        </w:rPr>
        <w:t xml:space="preserve">5015 national marker having the conditions and quality determined by the Authority shall be added to the liquid fuel by the refining undertakings, distributors and processing (bio-diesel) licensees at the refinery exit, customs entry or at other facilities which are the domestic market entry points of the liquid fuel. The aim of this implementation is to determine whether the liquid fuel circulating in the market has entered the market in legal ways or not and preventing the sale of illicit and out of standard products. The adding process is done by the dose-controlled injection equipment installed in the facilities. Such equipment shall have the technical qualifications enabling accurate and traceable measurement results. </w:t>
      </w:r>
    </w:p>
    <w:p w:rsidR="00003A06" w:rsidRPr="00F36DBC" w:rsidRDefault="00003A06" w:rsidP="00B044F7">
      <w:pPr>
        <w:spacing w:after="0"/>
        <w:jc w:val="both"/>
        <w:rPr>
          <w:sz w:val="20"/>
          <w:szCs w:val="20"/>
        </w:rPr>
      </w:pPr>
    </w:p>
    <w:p w:rsidR="00003A06" w:rsidRPr="00F36DBC" w:rsidRDefault="00003A06" w:rsidP="00B044F7">
      <w:pPr>
        <w:spacing w:after="0"/>
        <w:jc w:val="both"/>
        <w:rPr>
          <w:sz w:val="20"/>
          <w:szCs w:val="20"/>
        </w:rPr>
      </w:pPr>
      <w:r w:rsidRPr="00F36DBC">
        <w:rPr>
          <w:sz w:val="20"/>
          <w:szCs w:val="20"/>
        </w:rPr>
        <w:t>The liquid fuel types taken under the s</w:t>
      </w:r>
      <w:r w:rsidR="00CE46B8" w:rsidRPr="00F36DBC">
        <w:rPr>
          <w:sz w:val="20"/>
          <w:szCs w:val="20"/>
        </w:rPr>
        <w:t>cope of this implementation can</w:t>
      </w:r>
      <w:r w:rsidRPr="00F36DBC">
        <w:rPr>
          <w:sz w:val="20"/>
          <w:szCs w:val="20"/>
        </w:rPr>
        <w:t xml:space="preserve">not be submitted in the domestic market without adding the national marker having the conditions and quality determined by the Authority. Whether the liquid fuel marketed to the country contains national marker with appropriate conditions and qualifications shall be tested by the “National Marker field Control Equipment” produced for our Authority by The Scientific and Technological Research Council of Turkey and according to the test results the process foreseen in the Law No: 5015. The implementation began as of 01/01/2007 for benzene, gas oil and bio-diesel types. </w:t>
      </w:r>
    </w:p>
    <w:p w:rsidR="007D1913" w:rsidRDefault="007D191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CD5FC3" w:rsidRDefault="00CD5FC3" w:rsidP="004B771D">
      <w:pPr>
        <w:spacing w:after="0"/>
        <w:jc w:val="center"/>
        <w:rPr>
          <w:b/>
          <w:sz w:val="20"/>
          <w:szCs w:val="20"/>
        </w:rPr>
      </w:pPr>
    </w:p>
    <w:p w:rsidR="004B771D" w:rsidRPr="004B771D" w:rsidRDefault="00314E63" w:rsidP="004B771D">
      <w:pPr>
        <w:spacing w:after="0"/>
        <w:jc w:val="center"/>
        <w:rPr>
          <w:sz w:val="20"/>
          <w:szCs w:val="20"/>
        </w:rPr>
      </w:pPr>
      <w:r w:rsidRPr="00F36DBC">
        <w:rPr>
          <w:b/>
          <w:sz w:val="20"/>
          <w:szCs w:val="20"/>
        </w:rPr>
        <w:lastRenderedPageBreak/>
        <w:t xml:space="preserve">Guideline for Investment in </w:t>
      </w:r>
      <w:r>
        <w:rPr>
          <w:b/>
          <w:sz w:val="20"/>
          <w:szCs w:val="20"/>
        </w:rPr>
        <w:t xml:space="preserve">the </w:t>
      </w:r>
      <w:r w:rsidR="00A925D7" w:rsidRPr="004B771D">
        <w:rPr>
          <w:b/>
          <w:sz w:val="20"/>
          <w:szCs w:val="20"/>
        </w:rPr>
        <w:t>Liquefied Petroleum Gases Market</w:t>
      </w:r>
    </w:p>
    <w:p w:rsidR="004B771D" w:rsidRPr="004B771D" w:rsidRDefault="004B771D" w:rsidP="004B771D">
      <w:pPr>
        <w:spacing w:after="0"/>
        <w:jc w:val="both"/>
        <w:rPr>
          <w:sz w:val="20"/>
          <w:szCs w:val="20"/>
        </w:rPr>
      </w:pPr>
      <w:r w:rsidRPr="004B771D">
        <w:rPr>
          <w:sz w:val="20"/>
          <w:szCs w:val="20"/>
        </w:rPr>
        <w:t xml:space="preserve">In Turkey the liquefied petroleum gas has being used for approximately 45 years since 1960. LPG activities are carried on in three different segments as </w:t>
      </w:r>
      <w:proofErr w:type="spellStart"/>
      <w:r w:rsidRPr="004B771D">
        <w:rPr>
          <w:sz w:val="20"/>
          <w:szCs w:val="20"/>
        </w:rPr>
        <w:t>tubed</w:t>
      </w:r>
      <w:proofErr w:type="spellEnd"/>
      <w:r w:rsidRPr="004B771D">
        <w:rPr>
          <w:sz w:val="20"/>
          <w:szCs w:val="20"/>
        </w:rPr>
        <w:t xml:space="preserve"> LPG activity, bulk LPG activity and auto gas activity. </w:t>
      </w:r>
    </w:p>
    <w:p w:rsidR="004B771D" w:rsidRPr="004B771D" w:rsidRDefault="004B771D" w:rsidP="004B771D">
      <w:pPr>
        <w:spacing w:after="0"/>
        <w:ind w:firstLine="708"/>
        <w:jc w:val="both"/>
        <w:rPr>
          <w:sz w:val="20"/>
          <w:szCs w:val="20"/>
        </w:rPr>
      </w:pPr>
    </w:p>
    <w:p w:rsidR="004B771D" w:rsidRPr="004B771D" w:rsidRDefault="004B771D" w:rsidP="004B771D">
      <w:pPr>
        <w:spacing w:after="0"/>
        <w:jc w:val="both"/>
        <w:rPr>
          <w:sz w:val="20"/>
          <w:szCs w:val="20"/>
        </w:rPr>
      </w:pPr>
      <w:r w:rsidRPr="004B771D">
        <w:rPr>
          <w:sz w:val="20"/>
          <w:szCs w:val="20"/>
        </w:rPr>
        <w:t>The size of the Turkish LPG market is approximately 5 billion Euros and a tax revenue of 2</w:t>
      </w:r>
      <w:proofErr w:type="gramStart"/>
      <w:r w:rsidRPr="004B771D">
        <w:rPr>
          <w:sz w:val="20"/>
          <w:szCs w:val="20"/>
        </w:rPr>
        <w:t>,2</w:t>
      </w:r>
      <w:proofErr w:type="gramEnd"/>
      <w:r w:rsidRPr="004B771D">
        <w:rPr>
          <w:sz w:val="20"/>
          <w:szCs w:val="20"/>
        </w:rPr>
        <w:t xml:space="preserve"> billion Euros is obtained from the market. In 2006, about 3.520.000 tones of LPG were consumed in Turkey. This amount indicates that Turkey is one of the most important LPG markets in the world. Approximately 42% of this amount was realized as </w:t>
      </w:r>
      <w:proofErr w:type="spellStart"/>
      <w:r w:rsidRPr="004B771D">
        <w:rPr>
          <w:sz w:val="20"/>
          <w:szCs w:val="20"/>
        </w:rPr>
        <w:t>tubed</w:t>
      </w:r>
      <w:proofErr w:type="spellEnd"/>
      <w:r w:rsidRPr="004B771D">
        <w:rPr>
          <w:sz w:val="20"/>
          <w:szCs w:val="20"/>
        </w:rPr>
        <w:t xml:space="preserve"> LPG, 44% as auto gas LPG and 14% as bulk LPG. In our country LPG is used in approximately fourteen million homes, there are about eleven thousand four hundred </w:t>
      </w:r>
      <w:proofErr w:type="spellStart"/>
      <w:r w:rsidRPr="004B771D">
        <w:rPr>
          <w:sz w:val="20"/>
          <w:szCs w:val="20"/>
        </w:rPr>
        <w:t>tubed</w:t>
      </w:r>
      <w:proofErr w:type="spellEnd"/>
      <w:r w:rsidRPr="004B771D">
        <w:rPr>
          <w:sz w:val="20"/>
          <w:szCs w:val="20"/>
        </w:rPr>
        <w:t xml:space="preserve"> LPG stations and approximately six thousand auto gas stations. LPG is used in 1</w:t>
      </w:r>
      <w:proofErr w:type="gramStart"/>
      <w:r w:rsidRPr="004B771D">
        <w:rPr>
          <w:sz w:val="20"/>
          <w:szCs w:val="20"/>
        </w:rPr>
        <w:t>,5</w:t>
      </w:r>
      <w:proofErr w:type="gramEnd"/>
      <w:r w:rsidRPr="004B771D">
        <w:rPr>
          <w:sz w:val="20"/>
          <w:szCs w:val="20"/>
        </w:rPr>
        <w:t xml:space="preserve"> million vehicles and about 450 thousand people earn their livings in this sector. In terms of market size Turkey comes second after England in Europe and is in the first ten all over the world. Due to increase in use of natural gas as a consequence  of our country’s current energy and tax policies, it is projected that the </w:t>
      </w:r>
      <w:proofErr w:type="spellStart"/>
      <w:r w:rsidRPr="004B771D">
        <w:rPr>
          <w:sz w:val="20"/>
          <w:szCs w:val="20"/>
        </w:rPr>
        <w:t>the</w:t>
      </w:r>
      <w:proofErr w:type="spellEnd"/>
      <w:r w:rsidRPr="004B771D">
        <w:rPr>
          <w:sz w:val="20"/>
          <w:szCs w:val="20"/>
        </w:rPr>
        <w:t xml:space="preserve"> narrowing in the consumption of </w:t>
      </w:r>
      <w:proofErr w:type="spellStart"/>
      <w:r w:rsidRPr="004B771D">
        <w:rPr>
          <w:sz w:val="20"/>
          <w:szCs w:val="20"/>
        </w:rPr>
        <w:t>tubed</w:t>
      </w:r>
      <w:proofErr w:type="spellEnd"/>
      <w:r w:rsidRPr="004B771D">
        <w:rPr>
          <w:sz w:val="20"/>
          <w:szCs w:val="20"/>
        </w:rPr>
        <w:t xml:space="preserve"> and bulk LPG will continue. LPG is preferred for its low cost in our country whereas in the world it is preferred for environmental motives and the sector is enjoying some advantages. Within this scope, taking into account the probability of implementation of such exemptions and advantages in our country will increase some automotive companies’ production of LPG using vehicles. When the increase of 2</w:t>
      </w:r>
      <w:proofErr w:type="gramStart"/>
      <w:r w:rsidRPr="004B771D">
        <w:rPr>
          <w:sz w:val="20"/>
          <w:szCs w:val="20"/>
        </w:rPr>
        <w:t>,1</w:t>
      </w:r>
      <w:proofErr w:type="gramEnd"/>
      <w:r w:rsidRPr="004B771D">
        <w:rPr>
          <w:sz w:val="20"/>
          <w:szCs w:val="20"/>
        </w:rPr>
        <w:t xml:space="preserve"> million tones in the auto gas consumption as a result of the tax advantage obtained in 1999-2000 with the high liquid fuel prices is taken into account, it is expected that the increase in auto gas LPG consumption will continue.   TÜPRAŞ is the sole producer in Turkey, about 800 thousand tones of LPG is produced annually in four refineries and sold in the domestic market. </w:t>
      </w:r>
    </w:p>
    <w:p w:rsidR="004B771D" w:rsidRPr="004B771D" w:rsidRDefault="004B771D" w:rsidP="004B771D">
      <w:pPr>
        <w:spacing w:after="0"/>
        <w:jc w:val="both"/>
        <w:rPr>
          <w:sz w:val="20"/>
          <w:szCs w:val="20"/>
        </w:rPr>
      </w:pPr>
    </w:p>
    <w:p w:rsidR="004B771D" w:rsidRPr="004B771D" w:rsidRDefault="004B771D" w:rsidP="004B771D">
      <w:pPr>
        <w:spacing w:after="0"/>
        <w:jc w:val="both"/>
        <w:rPr>
          <w:b/>
          <w:sz w:val="20"/>
          <w:szCs w:val="20"/>
        </w:rPr>
      </w:pPr>
      <w:r w:rsidRPr="004B771D">
        <w:rPr>
          <w:b/>
          <w:sz w:val="20"/>
          <w:szCs w:val="20"/>
        </w:rPr>
        <w:t>Market Activities</w:t>
      </w:r>
    </w:p>
    <w:p w:rsidR="004B771D" w:rsidRPr="004B771D" w:rsidRDefault="004B771D" w:rsidP="004B771D">
      <w:pPr>
        <w:spacing w:after="0"/>
        <w:jc w:val="both"/>
        <w:rPr>
          <w:sz w:val="20"/>
          <w:szCs w:val="20"/>
        </w:rPr>
      </w:pPr>
      <w:r w:rsidRPr="004B771D">
        <w:rPr>
          <w:sz w:val="20"/>
          <w:szCs w:val="20"/>
        </w:rPr>
        <w:t>With the enactment of the Liquefied Petroleum Gases Market Law No: 5307 and the Law Amending the Electricity Market Law on 13.03.2005 it is aimed to do regulation, guidance, monitoring and supervision activities necessary to perform the market activities of submission to use of the liquefied petroleum gases supplied from domestic or foreign resources in a reliable and economically competitive environment in a transparent, egalitarian and stable manner. With this law, the import, export, storage, transportation, distribution and vendor activity are accepted as market activities. Following the enactment of the Law, the secondary legislation was prepared and issued with an aim to regulate the market activities.</w:t>
      </w:r>
    </w:p>
    <w:p w:rsidR="004B771D" w:rsidRPr="004B771D" w:rsidRDefault="004B771D" w:rsidP="004B771D">
      <w:pPr>
        <w:spacing w:after="0"/>
        <w:jc w:val="both"/>
        <w:rPr>
          <w:sz w:val="20"/>
          <w:szCs w:val="20"/>
        </w:rPr>
      </w:pPr>
    </w:p>
    <w:p w:rsidR="004B771D" w:rsidRPr="004B771D" w:rsidRDefault="004B771D" w:rsidP="004B771D">
      <w:pPr>
        <w:spacing w:after="0"/>
        <w:jc w:val="both"/>
        <w:rPr>
          <w:sz w:val="20"/>
          <w:szCs w:val="20"/>
        </w:rPr>
      </w:pPr>
      <w:r w:rsidRPr="004B771D">
        <w:rPr>
          <w:sz w:val="20"/>
          <w:szCs w:val="20"/>
        </w:rPr>
        <w:t xml:space="preserve">As per the Law, the real and legal persons are obliged to get license from EMRA to engage in market activities.  The types of these licenses are; distribution license, storage license, transportation license, production of LPG tube license, control, repair and maintenance of LPG tube license and auto gas vendor activity license. Currently there are 56 distribution license holders, 80 storage license holders, 34 transportation license holders, 6253 auto gas vendor activity license holders, 14 production of LPG tube license holders and 119 </w:t>
      </w:r>
      <w:proofErr w:type="gramStart"/>
      <w:r w:rsidRPr="004B771D">
        <w:rPr>
          <w:sz w:val="20"/>
          <w:szCs w:val="20"/>
        </w:rPr>
        <w:t>control</w:t>
      </w:r>
      <w:proofErr w:type="gramEnd"/>
      <w:r w:rsidRPr="004B771D">
        <w:rPr>
          <w:sz w:val="20"/>
          <w:szCs w:val="20"/>
        </w:rPr>
        <w:t xml:space="preserve">, repair and maintenance of LPG tube license holders in Turkey. </w:t>
      </w:r>
    </w:p>
    <w:p w:rsidR="004B771D" w:rsidRPr="004B771D" w:rsidRDefault="004B771D" w:rsidP="004B771D">
      <w:pPr>
        <w:spacing w:after="0"/>
        <w:jc w:val="both"/>
        <w:rPr>
          <w:sz w:val="20"/>
          <w:szCs w:val="20"/>
        </w:rPr>
      </w:pPr>
    </w:p>
    <w:p w:rsidR="004B771D" w:rsidRPr="004B771D" w:rsidRDefault="004B771D" w:rsidP="004B771D">
      <w:pPr>
        <w:tabs>
          <w:tab w:val="left" w:pos="567"/>
        </w:tabs>
        <w:spacing w:after="0"/>
        <w:jc w:val="both"/>
        <w:rPr>
          <w:sz w:val="20"/>
          <w:szCs w:val="20"/>
        </w:rPr>
      </w:pPr>
      <w:r w:rsidRPr="004B771D">
        <w:rPr>
          <w:sz w:val="20"/>
          <w:szCs w:val="20"/>
        </w:rPr>
        <w:t>The Law foresees the monitoring and supervision of the market at all stages from supply to the end user. For that reason, the persons who will supply LPG from foreign countries should be distributor license holder or should be granted refining undertaking license by the Authority as per the Petroleum Market Law. The distributors supply LPG from the refineries or import from other countries or supply from other distributers through whole purchase. The import of LPG is done from the five specialty customs after the compliance with technical regulations set forth by the Authority is determined in the laboratories of these five specialty customs.   .</w:t>
      </w:r>
    </w:p>
    <w:p w:rsidR="004B771D" w:rsidRPr="004B771D" w:rsidRDefault="004B771D" w:rsidP="004B771D">
      <w:pPr>
        <w:spacing w:after="0"/>
        <w:jc w:val="both"/>
        <w:rPr>
          <w:sz w:val="20"/>
          <w:szCs w:val="20"/>
        </w:rPr>
      </w:pPr>
    </w:p>
    <w:p w:rsidR="004B771D" w:rsidRPr="004B771D" w:rsidRDefault="004B771D" w:rsidP="004B771D">
      <w:pPr>
        <w:tabs>
          <w:tab w:val="left" w:pos="3780"/>
        </w:tabs>
        <w:spacing w:after="0"/>
        <w:jc w:val="both"/>
        <w:rPr>
          <w:sz w:val="20"/>
          <w:szCs w:val="20"/>
        </w:rPr>
      </w:pPr>
      <w:r w:rsidRPr="004B771D">
        <w:rPr>
          <w:sz w:val="20"/>
          <w:szCs w:val="20"/>
        </w:rPr>
        <w:t xml:space="preserve">The authority to engage in distribution activity within the country is vested only in the distribution license holders. The distribution license holders can perform the activities of distribution of auto gas LPG to the vendor stations under their possession or formed by contracts, supply and sale of bulk LPG to the users, distribution and marketing of </w:t>
      </w:r>
      <w:proofErr w:type="spellStart"/>
      <w:r w:rsidRPr="004B771D">
        <w:rPr>
          <w:sz w:val="20"/>
          <w:szCs w:val="20"/>
        </w:rPr>
        <w:t>tubed</w:t>
      </w:r>
      <w:proofErr w:type="spellEnd"/>
      <w:r w:rsidRPr="004B771D">
        <w:rPr>
          <w:sz w:val="20"/>
          <w:szCs w:val="20"/>
        </w:rPr>
        <w:t xml:space="preserve"> LPG, import and export of LPG.  In addition, provided that it is inserted in their licenses, they can engage in activities of transportation, filling and storage. The Law stipulates the principle of having storage, filling facility and LPG tubes which are fully in compliance with the technical regulations as a condition for being a distributor. Besides, to commence auto </w:t>
      </w:r>
      <w:r w:rsidRPr="004B771D">
        <w:rPr>
          <w:sz w:val="20"/>
          <w:szCs w:val="20"/>
        </w:rPr>
        <w:lastRenderedPageBreak/>
        <w:t xml:space="preserve">gas activities, the distributors should meet the criteria set forth by the Law and commence the activities of </w:t>
      </w:r>
      <w:proofErr w:type="spellStart"/>
      <w:r w:rsidRPr="004B771D">
        <w:rPr>
          <w:sz w:val="20"/>
          <w:szCs w:val="20"/>
        </w:rPr>
        <w:t>tubed</w:t>
      </w:r>
      <w:proofErr w:type="spellEnd"/>
      <w:r w:rsidRPr="004B771D">
        <w:rPr>
          <w:sz w:val="20"/>
          <w:szCs w:val="20"/>
        </w:rPr>
        <w:t xml:space="preserve"> LPG and should take into operation at least one filling facility.  In case the distributor has one LPG filling and storage facility, he can only distribute auto gas in the city where the facility is located or in the neighboring cities. To distribute auto gas all over the country there is the obligation of having filling and storage facilities in at least two cities. In addition, the distributors are obliged to store at least twenty times of the daily average LPG amount they supply. Unlike in the petroleum market, the distribution license holders are obliged to do the LPG supply to the auto gas stations with vehicles carrying their trademark, title and emblem and complying with the technical regulations.   </w:t>
      </w:r>
    </w:p>
    <w:p w:rsidR="004B771D" w:rsidRPr="004B771D" w:rsidRDefault="004B771D" w:rsidP="004B771D">
      <w:pPr>
        <w:spacing w:after="0"/>
        <w:jc w:val="both"/>
        <w:rPr>
          <w:b/>
          <w:sz w:val="20"/>
          <w:szCs w:val="20"/>
        </w:rPr>
      </w:pPr>
    </w:p>
    <w:p w:rsidR="004B771D" w:rsidRPr="004B771D" w:rsidRDefault="004B771D" w:rsidP="004B771D">
      <w:pPr>
        <w:spacing w:after="0"/>
        <w:jc w:val="both"/>
        <w:rPr>
          <w:b/>
          <w:sz w:val="20"/>
          <w:szCs w:val="20"/>
        </w:rPr>
      </w:pPr>
      <w:r w:rsidRPr="004B771D">
        <w:rPr>
          <w:b/>
          <w:sz w:val="20"/>
          <w:szCs w:val="20"/>
        </w:rPr>
        <w:t>Exit from the Market</w:t>
      </w:r>
    </w:p>
    <w:p w:rsidR="004B771D" w:rsidRPr="004B771D" w:rsidRDefault="004B771D" w:rsidP="004B771D">
      <w:pPr>
        <w:spacing w:after="0"/>
        <w:jc w:val="both"/>
        <w:rPr>
          <w:sz w:val="20"/>
          <w:szCs w:val="20"/>
        </w:rPr>
      </w:pPr>
      <w:r w:rsidRPr="004B771D">
        <w:rPr>
          <w:sz w:val="20"/>
          <w:szCs w:val="20"/>
        </w:rPr>
        <w:t xml:space="preserve">The licenses are automatically terminated in cases of bankruptcy of the license holder, termination of the period of license, upon the demand of the license holder except for LPG distribution and LPG storage licenses, not entering into agreement with any distributor and auto gas vendor within three months upon the termination of the agreement between the   LPG auto gas vendor activity license holders and LPG distribution license holders, losing any of the conditions for being granted license. Except from theses cases, the termination of the licenses is realized by Board’s decision. LPG distribution license holders are liable to notify their vendors and the Authority at least three months in advance of stopping the activities. The demand for license termination of the LPG distribution license holders and LPG storage license holders are evaluated provided that the liabilities regarding the commitments entered into with third parties in the market are met and related documents are submitted to the Authority and their licenses are terminated upon Board’s decision. </w:t>
      </w:r>
    </w:p>
    <w:p w:rsidR="004B771D" w:rsidRPr="004B771D" w:rsidRDefault="004B771D" w:rsidP="004B771D">
      <w:pPr>
        <w:spacing w:after="0"/>
        <w:jc w:val="both"/>
        <w:rPr>
          <w:sz w:val="20"/>
          <w:szCs w:val="20"/>
        </w:rPr>
      </w:pPr>
    </w:p>
    <w:p w:rsidR="004B771D" w:rsidRPr="004B771D" w:rsidRDefault="004B771D" w:rsidP="004B771D">
      <w:pPr>
        <w:spacing w:after="0"/>
        <w:jc w:val="both"/>
        <w:rPr>
          <w:b/>
          <w:sz w:val="20"/>
          <w:szCs w:val="20"/>
        </w:rPr>
      </w:pPr>
      <w:r w:rsidRPr="004B771D">
        <w:rPr>
          <w:b/>
          <w:sz w:val="20"/>
          <w:szCs w:val="20"/>
        </w:rPr>
        <w:t>Information on Investment Costs</w:t>
      </w:r>
    </w:p>
    <w:p w:rsidR="004B771D" w:rsidRPr="004B771D" w:rsidRDefault="004B771D" w:rsidP="004B771D">
      <w:pPr>
        <w:spacing w:after="0"/>
        <w:jc w:val="both"/>
        <w:rPr>
          <w:sz w:val="20"/>
          <w:szCs w:val="20"/>
        </w:rPr>
      </w:pPr>
      <w:r w:rsidRPr="004B771D">
        <w:rPr>
          <w:sz w:val="20"/>
          <w:szCs w:val="20"/>
        </w:rPr>
        <w:t xml:space="preserve">The investment costs for market activities vary depending on the type of the activity, the capacity, the region of investment and other factors. Following are the minimum approximate costs according to the activity type excluding the land, building, construction and other services; </w:t>
      </w:r>
    </w:p>
    <w:p w:rsidR="004B771D" w:rsidRPr="004B771D" w:rsidRDefault="004B771D" w:rsidP="004B771D">
      <w:pPr>
        <w:spacing w:after="0"/>
        <w:jc w:val="both"/>
        <w:rPr>
          <w:sz w:val="20"/>
          <w:szCs w:val="20"/>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7470"/>
      </w:tblGrid>
      <w:tr w:rsidR="007D1913" w:rsidRPr="0015783A" w:rsidTr="0015783A">
        <w:tc>
          <w:tcPr>
            <w:tcW w:w="2790" w:type="dxa"/>
          </w:tcPr>
          <w:p w:rsidR="007D1913" w:rsidRPr="0015783A" w:rsidRDefault="007D1913" w:rsidP="0015783A">
            <w:pPr>
              <w:spacing w:after="0"/>
              <w:rPr>
                <w:b/>
                <w:sz w:val="16"/>
                <w:szCs w:val="16"/>
              </w:rPr>
            </w:pPr>
            <w:r w:rsidRPr="0015783A">
              <w:rPr>
                <w:b/>
                <w:sz w:val="16"/>
                <w:szCs w:val="16"/>
              </w:rPr>
              <w:t>Distributor</w:t>
            </w:r>
          </w:p>
        </w:tc>
        <w:tc>
          <w:tcPr>
            <w:tcW w:w="7470" w:type="dxa"/>
          </w:tcPr>
          <w:p w:rsidR="007D1913" w:rsidRPr="0015783A" w:rsidRDefault="007D1913" w:rsidP="0015783A">
            <w:pPr>
              <w:spacing w:after="0"/>
              <w:rPr>
                <w:sz w:val="16"/>
                <w:szCs w:val="16"/>
              </w:rPr>
            </w:pPr>
            <w:r w:rsidRPr="0015783A">
              <w:rPr>
                <w:sz w:val="16"/>
                <w:szCs w:val="16"/>
              </w:rPr>
              <w:t>450.000 USD (One filling and storage facility and one vehicle)</w:t>
            </w:r>
          </w:p>
        </w:tc>
      </w:tr>
      <w:tr w:rsidR="007D1913" w:rsidRPr="0015783A" w:rsidTr="0015783A">
        <w:tc>
          <w:tcPr>
            <w:tcW w:w="2790" w:type="dxa"/>
          </w:tcPr>
          <w:p w:rsidR="007D1913" w:rsidRPr="0015783A" w:rsidRDefault="007D1913" w:rsidP="0015783A">
            <w:pPr>
              <w:spacing w:after="0"/>
              <w:rPr>
                <w:b/>
                <w:sz w:val="16"/>
                <w:szCs w:val="16"/>
              </w:rPr>
            </w:pPr>
            <w:r w:rsidRPr="0015783A">
              <w:rPr>
                <w:b/>
                <w:sz w:val="16"/>
                <w:szCs w:val="16"/>
              </w:rPr>
              <w:t>Transportation</w:t>
            </w:r>
          </w:p>
        </w:tc>
        <w:tc>
          <w:tcPr>
            <w:tcW w:w="7470" w:type="dxa"/>
          </w:tcPr>
          <w:p w:rsidR="007D1913" w:rsidRPr="0015783A" w:rsidRDefault="007D1913" w:rsidP="0015783A">
            <w:pPr>
              <w:spacing w:after="0"/>
              <w:rPr>
                <w:sz w:val="16"/>
                <w:szCs w:val="16"/>
              </w:rPr>
            </w:pPr>
            <w:r w:rsidRPr="0015783A">
              <w:rPr>
                <w:sz w:val="16"/>
                <w:szCs w:val="16"/>
              </w:rPr>
              <w:t>130.000   USD (One vehicle)</w:t>
            </w:r>
          </w:p>
        </w:tc>
      </w:tr>
      <w:tr w:rsidR="007D1913" w:rsidRPr="0015783A" w:rsidTr="0015783A">
        <w:tc>
          <w:tcPr>
            <w:tcW w:w="2790" w:type="dxa"/>
          </w:tcPr>
          <w:p w:rsidR="007D1913" w:rsidRPr="0015783A" w:rsidRDefault="007D1913" w:rsidP="0015783A">
            <w:pPr>
              <w:spacing w:after="0"/>
              <w:rPr>
                <w:b/>
                <w:sz w:val="16"/>
                <w:szCs w:val="16"/>
              </w:rPr>
            </w:pPr>
            <w:r w:rsidRPr="0015783A">
              <w:rPr>
                <w:b/>
                <w:sz w:val="16"/>
                <w:szCs w:val="16"/>
              </w:rPr>
              <w:t>Auto gas vendor license</w:t>
            </w:r>
          </w:p>
        </w:tc>
        <w:tc>
          <w:tcPr>
            <w:tcW w:w="7470" w:type="dxa"/>
          </w:tcPr>
          <w:p w:rsidR="007D1913" w:rsidRPr="0015783A" w:rsidRDefault="007D1913" w:rsidP="0015783A">
            <w:pPr>
              <w:spacing w:after="0"/>
              <w:rPr>
                <w:sz w:val="16"/>
                <w:szCs w:val="16"/>
              </w:rPr>
            </w:pPr>
            <w:r w:rsidRPr="0015783A">
              <w:rPr>
                <w:sz w:val="16"/>
                <w:szCs w:val="16"/>
              </w:rPr>
              <w:t>170.000 USD (Only management equipment, tank, dispenser etc. excluding the land and construction services)</w:t>
            </w:r>
          </w:p>
        </w:tc>
      </w:tr>
      <w:tr w:rsidR="007D1913" w:rsidRPr="0015783A" w:rsidTr="0015783A">
        <w:tc>
          <w:tcPr>
            <w:tcW w:w="2790" w:type="dxa"/>
          </w:tcPr>
          <w:p w:rsidR="007D1913" w:rsidRPr="0015783A" w:rsidRDefault="007D1913" w:rsidP="0015783A">
            <w:pPr>
              <w:spacing w:after="0"/>
              <w:rPr>
                <w:b/>
                <w:sz w:val="16"/>
                <w:szCs w:val="16"/>
              </w:rPr>
            </w:pPr>
            <w:r w:rsidRPr="0015783A">
              <w:rPr>
                <w:b/>
                <w:sz w:val="16"/>
                <w:szCs w:val="16"/>
              </w:rPr>
              <w:t>Tube control, repair and maintenance</w:t>
            </w:r>
          </w:p>
        </w:tc>
        <w:tc>
          <w:tcPr>
            <w:tcW w:w="7470" w:type="dxa"/>
          </w:tcPr>
          <w:p w:rsidR="007D1913" w:rsidRPr="0015783A" w:rsidRDefault="007D1913" w:rsidP="0015783A">
            <w:pPr>
              <w:spacing w:after="0"/>
              <w:rPr>
                <w:sz w:val="16"/>
                <w:szCs w:val="16"/>
              </w:rPr>
            </w:pPr>
            <w:r w:rsidRPr="0015783A">
              <w:rPr>
                <w:sz w:val="16"/>
                <w:szCs w:val="16"/>
              </w:rPr>
              <w:t>40.000 USD</w:t>
            </w:r>
          </w:p>
        </w:tc>
      </w:tr>
      <w:tr w:rsidR="007D1913" w:rsidRPr="0015783A" w:rsidTr="0015783A">
        <w:tc>
          <w:tcPr>
            <w:tcW w:w="2790" w:type="dxa"/>
          </w:tcPr>
          <w:p w:rsidR="007D1913" w:rsidRPr="0015783A" w:rsidRDefault="007D1913" w:rsidP="0015783A">
            <w:pPr>
              <w:spacing w:after="0"/>
              <w:rPr>
                <w:b/>
                <w:sz w:val="16"/>
                <w:szCs w:val="16"/>
              </w:rPr>
            </w:pPr>
            <w:r w:rsidRPr="0015783A">
              <w:rPr>
                <w:b/>
                <w:sz w:val="16"/>
                <w:szCs w:val="16"/>
              </w:rPr>
              <w:t>Tube production</w:t>
            </w:r>
          </w:p>
        </w:tc>
        <w:tc>
          <w:tcPr>
            <w:tcW w:w="7470" w:type="dxa"/>
          </w:tcPr>
          <w:p w:rsidR="007D1913" w:rsidRPr="0015783A" w:rsidRDefault="007D1913" w:rsidP="0015783A">
            <w:pPr>
              <w:spacing w:after="0"/>
              <w:rPr>
                <w:sz w:val="16"/>
                <w:szCs w:val="16"/>
              </w:rPr>
            </w:pPr>
            <w:r w:rsidRPr="0015783A">
              <w:rPr>
                <w:sz w:val="16"/>
                <w:szCs w:val="16"/>
              </w:rPr>
              <w:t>200.000   USD</w:t>
            </w:r>
          </w:p>
        </w:tc>
      </w:tr>
      <w:tr w:rsidR="007D1913" w:rsidRPr="0015783A" w:rsidTr="0015783A">
        <w:tc>
          <w:tcPr>
            <w:tcW w:w="2790" w:type="dxa"/>
          </w:tcPr>
          <w:p w:rsidR="007D1913" w:rsidRPr="0015783A" w:rsidRDefault="007D1913" w:rsidP="0015783A">
            <w:pPr>
              <w:spacing w:after="0"/>
              <w:rPr>
                <w:b/>
                <w:sz w:val="16"/>
                <w:szCs w:val="16"/>
              </w:rPr>
            </w:pPr>
            <w:r w:rsidRPr="0015783A">
              <w:rPr>
                <w:b/>
                <w:sz w:val="16"/>
                <w:szCs w:val="16"/>
              </w:rPr>
              <w:t>Storage</w:t>
            </w:r>
          </w:p>
        </w:tc>
        <w:tc>
          <w:tcPr>
            <w:tcW w:w="7470" w:type="dxa"/>
          </w:tcPr>
          <w:p w:rsidR="007D1913" w:rsidRPr="0015783A" w:rsidRDefault="007D1913" w:rsidP="0015783A">
            <w:pPr>
              <w:spacing w:after="0"/>
              <w:rPr>
                <w:sz w:val="16"/>
                <w:szCs w:val="16"/>
              </w:rPr>
            </w:pPr>
            <w:r w:rsidRPr="0015783A">
              <w:rPr>
                <w:sz w:val="16"/>
                <w:szCs w:val="16"/>
              </w:rPr>
              <w:t>70.000 USD (cost of one tank of 225 m³, excluding the construction cost of the facility)</w:t>
            </w:r>
          </w:p>
        </w:tc>
      </w:tr>
    </w:tbl>
    <w:p w:rsidR="004B771D" w:rsidRPr="004B771D" w:rsidRDefault="00815E8F" w:rsidP="00815E8F">
      <w:pPr>
        <w:spacing w:after="0"/>
        <w:ind w:left="2160" w:hanging="2160"/>
        <w:jc w:val="both"/>
        <w:rPr>
          <w:sz w:val="20"/>
          <w:szCs w:val="20"/>
        </w:rPr>
      </w:pPr>
      <w:r>
        <w:rPr>
          <w:sz w:val="20"/>
          <w:szCs w:val="20"/>
        </w:rPr>
        <w:tab/>
      </w:r>
      <w:r>
        <w:rPr>
          <w:sz w:val="20"/>
          <w:szCs w:val="20"/>
        </w:rPr>
        <w:tab/>
      </w:r>
      <w:r>
        <w:rPr>
          <w:sz w:val="20"/>
          <w:szCs w:val="20"/>
        </w:rPr>
        <w:tab/>
      </w:r>
    </w:p>
    <w:p w:rsidR="004B771D" w:rsidRPr="004B771D" w:rsidRDefault="004B771D" w:rsidP="004B771D">
      <w:pPr>
        <w:spacing w:after="0"/>
        <w:jc w:val="both"/>
        <w:rPr>
          <w:b/>
          <w:sz w:val="20"/>
          <w:szCs w:val="20"/>
        </w:rPr>
      </w:pPr>
      <w:r w:rsidRPr="004B771D">
        <w:rPr>
          <w:b/>
          <w:sz w:val="20"/>
          <w:szCs w:val="20"/>
        </w:rPr>
        <w:t>Licensing process</w:t>
      </w:r>
    </w:p>
    <w:p w:rsidR="004B771D" w:rsidRPr="004B771D" w:rsidRDefault="004B771D" w:rsidP="004B771D">
      <w:pPr>
        <w:spacing w:after="0"/>
        <w:jc w:val="both"/>
        <w:rPr>
          <w:sz w:val="20"/>
          <w:szCs w:val="20"/>
        </w:rPr>
      </w:pPr>
      <w:r w:rsidRPr="004B771D">
        <w:rPr>
          <w:sz w:val="20"/>
          <w:szCs w:val="20"/>
        </w:rPr>
        <w:t xml:space="preserve">The real or legal persons; </w:t>
      </w:r>
    </w:p>
    <w:p w:rsidR="004B771D" w:rsidRPr="004B771D" w:rsidRDefault="004B771D" w:rsidP="004B771D">
      <w:pPr>
        <w:numPr>
          <w:ilvl w:val="0"/>
          <w:numId w:val="12"/>
        </w:numPr>
        <w:spacing w:after="0"/>
        <w:jc w:val="both"/>
        <w:rPr>
          <w:sz w:val="20"/>
          <w:szCs w:val="20"/>
        </w:rPr>
      </w:pPr>
      <w:r w:rsidRPr="004B771D">
        <w:rPr>
          <w:sz w:val="20"/>
          <w:szCs w:val="20"/>
        </w:rPr>
        <w:t xml:space="preserve">Residing in Turkey, </w:t>
      </w:r>
    </w:p>
    <w:p w:rsidR="004B771D" w:rsidRPr="004B771D" w:rsidRDefault="004B771D" w:rsidP="004B771D">
      <w:pPr>
        <w:numPr>
          <w:ilvl w:val="0"/>
          <w:numId w:val="12"/>
        </w:numPr>
        <w:spacing w:after="0"/>
        <w:jc w:val="both"/>
        <w:rPr>
          <w:sz w:val="20"/>
          <w:szCs w:val="20"/>
        </w:rPr>
      </w:pPr>
      <w:r w:rsidRPr="004B771D">
        <w:rPr>
          <w:sz w:val="20"/>
          <w:szCs w:val="20"/>
        </w:rPr>
        <w:t xml:space="preserve">Having commercial or industrial registry, </w:t>
      </w:r>
    </w:p>
    <w:p w:rsidR="004B771D" w:rsidRPr="004B771D" w:rsidRDefault="004B771D" w:rsidP="004B771D">
      <w:pPr>
        <w:numPr>
          <w:ilvl w:val="0"/>
          <w:numId w:val="12"/>
        </w:numPr>
        <w:spacing w:after="0"/>
        <w:jc w:val="both"/>
        <w:rPr>
          <w:sz w:val="20"/>
          <w:szCs w:val="20"/>
        </w:rPr>
      </w:pPr>
      <w:r w:rsidRPr="004B771D">
        <w:rPr>
          <w:sz w:val="20"/>
          <w:szCs w:val="20"/>
        </w:rPr>
        <w:t xml:space="preserve">Income or corporate tax payer, </w:t>
      </w:r>
    </w:p>
    <w:p w:rsidR="004B771D" w:rsidRPr="004B771D" w:rsidRDefault="004B771D" w:rsidP="004B771D">
      <w:pPr>
        <w:spacing w:after="0"/>
        <w:jc w:val="both"/>
        <w:rPr>
          <w:sz w:val="20"/>
          <w:szCs w:val="20"/>
        </w:rPr>
      </w:pPr>
      <w:proofErr w:type="gramStart"/>
      <w:r w:rsidRPr="004B771D">
        <w:rPr>
          <w:sz w:val="20"/>
          <w:szCs w:val="20"/>
        </w:rPr>
        <w:t>may</w:t>
      </w:r>
      <w:proofErr w:type="gramEnd"/>
      <w:r w:rsidRPr="004B771D">
        <w:rPr>
          <w:sz w:val="20"/>
          <w:szCs w:val="20"/>
        </w:rPr>
        <w:t xml:space="preserve"> apply for licenses. </w:t>
      </w:r>
    </w:p>
    <w:p w:rsidR="004B771D" w:rsidRPr="004B771D" w:rsidRDefault="004B771D" w:rsidP="004B771D">
      <w:pPr>
        <w:spacing w:after="0"/>
        <w:jc w:val="both"/>
        <w:rPr>
          <w:sz w:val="20"/>
          <w:szCs w:val="20"/>
        </w:rPr>
      </w:pPr>
    </w:p>
    <w:p w:rsidR="004B771D" w:rsidRPr="004B771D" w:rsidRDefault="004B771D" w:rsidP="004B771D">
      <w:pPr>
        <w:spacing w:after="0"/>
        <w:jc w:val="both"/>
        <w:rPr>
          <w:sz w:val="20"/>
          <w:szCs w:val="20"/>
        </w:rPr>
      </w:pPr>
      <w:r w:rsidRPr="004B771D">
        <w:rPr>
          <w:sz w:val="20"/>
          <w:szCs w:val="20"/>
        </w:rPr>
        <w:t xml:space="preserve">From the market activities only for distribution activity there is the condition of being a capital stock company. Therefore, the companies willing to engage in LPG distribution activity are obliged to be joint stock company, </w:t>
      </w:r>
      <w:proofErr w:type="gramStart"/>
      <w:r w:rsidRPr="004B771D">
        <w:rPr>
          <w:sz w:val="20"/>
          <w:szCs w:val="20"/>
        </w:rPr>
        <w:t>limited liability company</w:t>
      </w:r>
      <w:proofErr w:type="gramEnd"/>
      <w:r w:rsidRPr="004B771D">
        <w:rPr>
          <w:sz w:val="20"/>
          <w:szCs w:val="20"/>
        </w:rPr>
        <w:t xml:space="preserve"> or joint stock </w:t>
      </w:r>
      <w:proofErr w:type="spellStart"/>
      <w:r w:rsidRPr="004B771D">
        <w:rPr>
          <w:sz w:val="20"/>
          <w:szCs w:val="20"/>
        </w:rPr>
        <w:t>commandite</w:t>
      </w:r>
      <w:proofErr w:type="spellEnd"/>
      <w:r w:rsidRPr="004B771D">
        <w:rPr>
          <w:sz w:val="20"/>
          <w:szCs w:val="20"/>
        </w:rPr>
        <w:t xml:space="preserve"> company. Other market activities can be performed by real persons, unlimited companies or capital stock companies.</w:t>
      </w:r>
    </w:p>
    <w:p w:rsidR="004B771D" w:rsidRPr="004B771D" w:rsidRDefault="004B771D" w:rsidP="004B771D">
      <w:pPr>
        <w:spacing w:after="0"/>
        <w:jc w:val="both"/>
        <w:rPr>
          <w:sz w:val="20"/>
          <w:szCs w:val="20"/>
        </w:rPr>
      </w:pPr>
    </w:p>
    <w:p w:rsidR="004B771D" w:rsidRPr="004B771D" w:rsidRDefault="004B771D" w:rsidP="004B771D">
      <w:pPr>
        <w:spacing w:after="0"/>
        <w:jc w:val="both"/>
        <w:rPr>
          <w:sz w:val="20"/>
          <w:szCs w:val="20"/>
        </w:rPr>
      </w:pPr>
      <w:r w:rsidRPr="004B771D">
        <w:rPr>
          <w:sz w:val="20"/>
          <w:szCs w:val="20"/>
        </w:rPr>
        <w:t>The legal person applying for LPG distribution license should gather the certificate, permission and documents for the establishment and management of the facility showing that there is no drawback in terms of development, society and environment, vocational health, security, technical regulations etc. which are demanded by related organizations and authorities for the establishment and management of LPG facilities. Besides, the applicants of distribution license are obliged to have storage, filling facility and LPG tubes which comply with the technical regulations. The applications are filed together with the documents and forms stated in the web page of the Authority.</w:t>
      </w:r>
    </w:p>
    <w:p w:rsidR="004B771D" w:rsidRPr="004B771D" w:rsidRDefault="004B771D" w:rsidP="004B771D">
      <w:pPr>
        <w:spacing w:after="0"/>
        <w:jc w:val="both"/>
        <w:rPr>
          <w:sz w:val="20"/>
          <w:szCs w:val="20"/>
        </w:rPr>
      </w:pPr>
      <w:r w:rsidRPr="004B771D">
        <w:rPr>
          <w:sz w:val="20"/>
          <w:szCs w:val="20"/>
        </w:rPr>
        <w:lastRenderedPageBreak/>
        <w:t>EMRA concludes the duly filed applications within at least sixty working days and communicate to the related person.</w:t>
      </w:r>
    </w:p>
    <w:p w:rsidR="004B771D" w:rsidRPr="004B771D" w:rsidRDefault="004B771D" w:rsidP="004B771D">
      <w:pPr>
        <w:spacing w:after="0"/>
        <w:ind w:firstLine="708"/>
        <w:jc w:val="both"/>
        <w:rPr>
          <w:sz w:val="20"/>
          <w:szCs w:val="20"/>
        </w:rPr>
      </w:pPr>
      <w:r w:rsidRPr="004B771D">
        <w:rPr>
          <w:sz w:val="20"/>
          <w:szCs w:val="20"/>
        </w:rPr>
        <w:t xml:space="preserve"> </w:t>
      </w:r>
    </w:p>
    <w:p w:rsidR="004B771D" w:rsidRPr="004B771D" w:rsidRDefault="004B771D" w:rsidP="004B771D">
      <w:pPr>
        <w:tabs>
          <w:tab w:val="left" w:pos="567"/>
        </w:tabs>
        <w:spacing w:after="0"/>
        <w:jc w:val="both"/>
        <w:rPr>
          <w:sz w:val="20"/>
          <w:szCs w:val="20"/>
        </w:rPr>
      </w:pPr>
      <w:r w:rsidRPr="004B771D">
        <w:rPr>
          <w:sz w:val="20"/>
          <w:szCs w:val="20"/>
        </w:rPr>
        <w:t xml:space="preserve">As per the legislation, the processing period for all applications in the LPG market is 60 days. However, the applications for auto gas vendor activity, tube control, repair and maintenance license and transportation license which are not subject to Board Decision are concluded within approximately five working days if the applications are duly filed. Distribution, storage and tube production license applications which are subject to Board decision are concluded within 60 days if they are duly filed. </w:t>
      </w:r>
      <w:proofErr w:type="spellStart"/>
      <w:r w:rsidRPr="004B771D">
        <w:rPr>
          <w:sz w:val="20"/>
          <w:szCs w:val="20"/>
        </w:rPr>
        <w:t>Tubed</w:t>
      </w:r>
      <w:proofErr w:type="spellEnd"/>
      <w:r w:rsidRPr="004B771D">
        <w:rPr>
          <w:sz w:val="20"/>
          <w:szCs w:val="20"/>
        </w:rPr>
        <w:t xml:space="preserve"> LPG vendors are not subject to licenses.  </w:t>
      </w:r>
    </w:p>
    <w:p w:rsidR="004B771D" w:rsidRPr="004B771D" w:rsidRDefault="004B771D" w:rsidP="004B771D">
      <w:pPr>
        <w:spacing w:after="0"/>
        <w:jc w:val="both"/>
        <w:rPr>
          <w:b/>
          <w:sz w:val="20"/>
          <w:szCs w:val="20"/>
        </w:rPr>
      </w:pPr>
    </w:p>
    <w:p w:rsidR="004B771D" w:rsidRPr="004B771D" w:rsidRDefault="004B771D" w:rsidP="004B771D">
      <w:pPr>
        <w:spacing w:after="0"/>
        <w:jc w:val="both"/>
        <w:rPr>
          <w:b/>
          <w:sz w:val="20"/>
          <w:szCs w:val="20"/>
        </w:rPr>
      </w:pPr>
      <w:r w:rsidRPr="004B771D">
        <w:rPr>
          <w:b/>
          <w:sz w:val="20"/>
          <w:szCs w:val="20"/>
        </w:rPr>
        <w:t>License Fees</w:t>
      </w:r>
    </w:p>
    <w:p w:rsidR="004B771D" w:rsidRPr="004B771D" w:rsidRDefault="004B771D" w:rsidP="004B771D">
      <w:pPr>
        <w:pStyle w:val="partext"/>
        <w:tabs>
          <w:tab w:val="clear" w:pos="1440"/>
          <w:tab w:val="clear" w:pos="1985"/>
          <w:tab w:val="clear" w:pos="2700"/>
          <w:tab w:val="clear" w:pos="2880"/>
          <w:tab w:val="left" w:pos="0"/>
          <w:tab w:val="left" w:pos="540"/>
        </w:tabs>
        <w:spacing w:before="0" w:after="0" w:line="276" w:lineRule="auto"/>
        <w:ind w:left="0" w:firstLine="0"/>
        <w:rPr>
          <w:rFonts w:ascii="Calibri" w:hAnsi="Calibri" w:cs="Times New Roman"/>
          <w:sz w:val="20"/>
          <w:lang w:val="en-US"/>
        </w:rPr>
      </w:pPr>
      <w:r w:rsidRPr="004B771D">
        <w:rPr>
          <w:rFonts w:ascii="Calibri" w:hAnsi="Calibri" w:cs="Times New Roman"/>
          <w:sz w:val="20"/>
          <w:lang w:val="en-US"/>
        </w:rPr>
        <w:t>The fees for license, license modification, time extension (visa) and license copy shall be applied as follows in 2007;</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2070"/>
        <w:gridCol w:w="2773"/>
        <w:gridCol w:w="557"/>
      </w:tblGrid>
      <w:tr w:rsidR="007D1913" w:rsidRPr="0015783A" w:rsidTr="0015783A">
        <w:tc>
          <w:tcPr>
            <w:tcW w:w="3780" w:type="dxa"/>
            <w:shd w:val="clear" w:color="auto" w:fill="92D050"/>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center"/>
              <w:rPr>
                <w:rFonts w:ascii="Calibri" w:hAnsi="Calibri" w:cs="Times New Roman"/>
                <w:b/>
                <w:sz w:val="16"/>
                <w:szCs w:val="16"/>
                <w:lang w:val="en-US"/>
              </w:rPr>
            </w:pPr>
            <w:r w:rsidRPr="0015783A">
              <w:rPr>
                <w:rFonts w:ascii="Calibri" w:hAnsi="Calibri" w:cs="Times New Roman"/>
                <w:b/>
                <w:sz w:val="16"/>
                <w:szCs w:val="16"/>
                <w:lang w:val="en-US"/>
              </w:rPr>
              <w:t>License fee for</w:t>
            </w:r>
          </w:p>
        </w:tc>
        <w:tc>
          <w:tcPr>
            <w:tcW w:w="2070" w:type="dxa"/>
            <w:shd w:val="clear" w:color="auto" w:fill="92D050"/>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center"/>
              <w:rPr>
                <w:rFonts w:ascii="Calibri" w:hAnsi="Calibri" w:cs="Times New Roman"/>
                <w:b/>
                <w:sz w:val="16"/>
                <w:szCs w:val="16"/>
                <w:lang w:val="en-US"/>
              </w:rPr>
            </w:pPr>
            <w:r w:rsidRPr="0015783A">
              <w:rPr>
                <w:rFonts w:ascii="Calibri" w:hAnsi="Calibri" w:cs="Times New Roman"/>
                <w:b/>
                <w:sz w:val="16"/>
                <w:szCs w:val="16"/>
                <w:lang w:val="en-US"/>
              </w:rPr>
              <w:t>TRY</w:t>
            </w:r>
          </w:p>
        </w:tc>
        <w:tc>
          <w:tcPr>
            <w:tcW w:w="2773" w:type="dxa"/>
            <w:shd w:val="clear" w:color="auto" w:fill="92D050"/>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center"/>
              <w:rPr>
                <w:rFonts w:ascii="Calibri" w:hAnsi="Calibri" w:cs="Times New Roman"/>
                <w:b/>
                <w:sz w:val="16"/>
                <w:szCs w:val="16"/>
                <w:lang w:val="en-US"/>
              </w:rPr>
            </w:pPr>
            <w:r w:rsidRPr="0015783A">
              <w:rPr>
                <w:rFonts w:ascii="Calibri" w:hAnsi="Calibri" w:cs="Times New Roman"/>
                <w:b/>
                <w:sz w:val="16"/>
                <w:szCs w:val="16"/>
                <w:lang w:val="en-US"/>
              </w:rPr>
              <w:t>License fee for</w:t>
            </w:r>
          </w:p>
        </w:tc>
        <w:tc>
          <w:tcPr>
            <w:tcW w:w="557" w:type="dxa"/>
            <w:shd w:val="clear" w:color="auto" w:fill="92D050"/>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center"/>
              <w:rPr>
                <w:rFonts w:ascii="Calibri" w:hAnsi="Calibri" w:cs="Times New Roman"/>
                <w:b/>
                <w:sz w:val="16"/>
                <w:szCs w:val="16"/>
                <w:lang w:val="en-US"/>
              </w:rPr>
            </w:pPr>
            <w:r w:rsidRPr="0015783A">
              <w:rPr>
                <w:rFonts w:ascii="Calibri" w:hAnsi="Calibri" w:cs="Times New Roman"/>
                <w:b/>
                <w:sz w:val="16"/>
                <w:szCs w:val="16"/>
                <w:lang w:val="en-US"/>
              </w:rPr>
              <w:t>TRY</w:t>
            </w:r>
          </w:p>
        </w:tc>
      </w:tr>
      <w:tr w:rsidR="007D1913" w:rsidRPr="0015783A" w:rsidTr="0015783A">
        <w:tc>
          <w:tcPr>
            <w:tcW w:w="378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cs="Times New Roman"/>
                <w:sz w:val="16"/>
                <w:szCs w:val="16"/>
                <w:lang w:val="en-US"/>
              </w:rPr>
            </w:pPr>
            <w:r w:rsidRPr="0015783A">
              <w:rPr>
                <w:rFonts w:ascii="Calibri" w:hAnsi="Calibri"/>
                <w:sz w:val="16"/>
                <w:szCs w:val="16"/>
              </w:rPr>
              <w:t>LPG Distribution license</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75.000</w:t>
            </w:r>
          </w:p>
        </w:tc>
        <w:tc>
          <w:tcPr>
            <w:tcW w:w="2773"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cs="Times New Roman"/>
                <w:sz w:val="16"/>
                <w:szCs w:val="16"/>
                <w:lang w:val="en-US"/>
              </w:rPr>
            </w:pPr>
            <w:r w:rsidRPr="0015783A">
              <w:rPr>
                <w:rFonts w:ascii="Calibri" w:hAnsi="Calibri"/>
                <w:sz w:val="16"/>
                <w:szCs w:val="16"/>
              </w:rPr>
              <w:t>LPG Transmission license</w:t>
            </w: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p>
        </w:tc>
      </w:tr>
      <w:tr w:rsidR="007D1913" w:rsidRPr="0015783A" w:rsidTr="0015783A">
        <w:tc>
          <w:tcPr>
            <w:tcW w:w="378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cs="Times New Roman"/>
                <w:sz w:val="16"/>
                <w:szCs w:val="16"/>
                <w:lang w:val="en-US"/>
              </w:rPr>
            </w:pPr>
            <w:r w:rsidRPr="0015783A">
              <w:rPr>
                <w:rFonts w:ascii="Calibri" w:hAnsi="Calibri"/>
                <w:sz w:val="16"/>
                <w:szCs w:val="16"/>
              </w:rPr>
              <w:t>LPG Storage license</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7.500</w:t>
            </w:r>
          </w:p>
        </w:tc>
        <w:tc>
          <w:tcPr>
            <w:tcW w:w="2773" w:type="dxa"/>
          </w:tcPr>
          <w:p w:rsidR="007D1913" w:rsidRPr="0015783A" w:rsidRDefault="007D1913" w:rsidP="0015783A">
            <w:pPr>
              <w:pStyle w:val="partext"/>
              <w:tabs>
                <w:tab w:val="clear" w:pos="1440"/>
                <w:tab w:val="clear" w:pos="1985"/>
                <w:tab w:val="clear" w:pos="2700"/>
                <w:tab w:val="clear" w:pos="2880"/>
                <w:tab w:val="left" w:pos="252"/>
                <w:tab w:val="left" w:pos="540"/>
              </w:tabs>
              <w:spacing w:before="0" w:after="0" w:line="276" w:lineRule="auto"/>
              <w:ind w:left="0" w:firstLine="252"/>
              <w:jc w:val="left"/>
              <w:rPr>
                <w:rFonts w:ascii="Calibri" w:hAnsi="Calibri" w:cs="Times New Roman"/>
                <w:sz w:val="16"/>
                <w:szCs w:val="16"/>
                <w:lang w:val="en-US"/>
              </w:rPr>
            </w:pPr>
            <w:r w:rsidRPr="0015783A">
              <w:rPr>
                <w:rFonts w:ascii="Calibri" w:hAnsi="Calibri"/>
                <w:sz w:val="16"/>
                <w:szCs w:val="16"/>
              </w:rPr>
              <w:t>- Per vehicle for the motorways</w:t>
            </w: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0</w:t>
            </w:r>
          </w:p>
        </w:tc>
      </w:tr>
      <w:tr w:rsidR="007D1913" w:rsidRPr="0015783A" w:rsidTr="0015783A">
        <w:tc>
          <w:tcPr>
            <w:tcW w:w="3780" w:type="dxa"/>
          </w:tcPr>
          <w:p w:rsidR="007D1913" w:rsidRPr="0015783A" w:rsidRDefault="007D1913" w:rsidP="0015783A">
            <w:pPr>
              <w:spacing w:after="0"/>
              <w:rPr>
                <w:sz w:val="16"/>
                <w:szCs w:val="16"/>
              </w:rPr>
            </w:pPr>
            <w:r w:rsidRPr="0015783A">
              <w:rPr>
                <w:sz w:val="16"/>
                <w:szCs w:val="16"/>
              </w:rPr>
              <w:t>LPG Tube production license</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5.000</w:t>
            </w:r>
          </w:p>
        </w:tc>
        <w:tc>
          <w:tcPr>
            <w:tcW w:w="2773" w:type="dxa"/>
          </w:tcPr>
          <w:p w:rsidR="007D1913" w:rsidRPr="0015783A" w:rsidRDefault="007D1913" w:rsidP="0015783A">
            <w:pPr>
              <w:pStyle w:val="partext"/>
              <w:tabs>
                <w:tab w:val="clear" w:pos="1440"/>
                <w:tab w:val="clear" w:pos="1985"/>
                <w:tab w:val="clear" w:pos="2700"/>
                <w:tab w:val="clear" w:pos="2880"/>
                <w:tab w:val="left" w:pos="252"/>
                <w:tab w:val="left" w:pos="540"/>
              </w:tabs>
              <w:spacing w:before="0" w:after="0" w:line="276" w:lineRule="auto"/>
              <w:ind w:left="0" w:firstLine="252"/>
              <w:jc w:val="left"/>
              <w:rPr>
                <w:rFonts w:ascii="Calibri" w:hAnsi="Calibri" w:cs="Times New Roman"/>
                <w:sz w:val="16"/>
                <w:szCs w:val="16"/>
                <w:lang w:val="en-US"/>
              </w:rPr>
            </w:pPr>
            <w:r w:rsidRPr="0015783A">
              <w:rPr>
                <w:rFonts w:ascii="Calibri" w:hAnsi="Calibri"/>
                <w:sz w:val="16"/>
                <w:szCs w:val="16"/>
              </w:rPr>
              <w:t>- Transmission via pipeline</w:t>
            </w: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0</w:t>
            </w:r>
          </w:p>
        </w:tc>
      </w:tr>
      <w:tr w:rsidR="007D1913" w:rsidRPr="0015783A" w:rsidTr="0015783A">
        <w:trPr>
          <w:trHeight w:val="65"/>
        </w:trPr>
        <w:tc>
          <w:tcPr>
            <w:tcW w:w="378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cs="Times New Roman"/>
                <w:sz w:val="16"/>
                <w:szCs w:val="16"/>
                <w:lang w:val="en-US"/>
              </w:rPr>
            </w:pPr>
            <w:r w:rsidRPr="0015783A">
              <w:rPr>
                <w:rFonts w:ascii="Calibri" w:hAnsi="Calibri"/>
                <w:sz w:val="16"/>
                <w:szCs w:val="16"/>
              </w:rPr>
              <w:t>LPG Auto gas vendor license</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1000</w:t>
            </w:r>
          </w:p>
        </w:tc>
        <w:tc>
          <w:tcPr>
            <w:tcW w:w="2773" w:type="dxa"/>
          </w:tcPr>
          <w:p w:rsidR="007D1913" w:rsidRPr="0015783A" w:rsidRDefault="007D1913" w:rsidP="0015783A">
            <w:pPr>
              <w:pStyle w:val="partext"/>
              <w:tabs>
                <w:tab w:val="clear" w:pos="1440"/>
                <w:tab w:val="clear" w:pos="1985"/>
                <w:tab w:val="clear" w:pos="2700"/>
                <w:tab w:val="clear" w:pos="2880"/>
                <w:tab w:val="left" w:pos="252"/>
                <w:tab w:val="left" w:pos="540"/>
              </w:tabs>
              <w:spacing w:before="0" w:after="0" w:line="276" w:lineRule="auto"/>
              <w:ind w:left="0" w:firstLine="252"/>
              <w:jc w:val="left"/>
              <w:rPr>
                <w:rFonts w:ascii="Calibri" w:hAnsi="Calibri" w:cs="Times New Roman"/>
                <w:sz w:val="16"/>
                <w:szCs w:val="16"/>
                <w:lang w:val="en-US"/>
              </w:rPr>
            </w:pPr>
            <w:r w:rsidRPr="0015783A">
              <w:rPr>
                <w:rFonts w:ascii="Calibri" w:hAnsi="Calibri"/>
                <w:sz w:val="16"/>
                <w:szCs w:val="16"/>
              </w:rPr>
              <w:t>- Per carriage for railways</w:t>
            </w: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75</w:t>
            </w:r>
          </w:p>
        </w:tc>
      </w:tr>
      <w:tr w:rsidR="007D1913" w:rsidRPr="0015783A" w:rsidTr="0015783A">
        <w:tc>
          <w:tcPr>
            <w:tcW w:w="378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cs="Times New Roman"/>
                <w:sz w:val="16"/>
                <w:szCs w:val="16"/>
                <w:lang w:val="en-US"/>
              </w:rPr>
            </w:pPr>
            <w:r w:rsidRPr="0015783A">
              <w:rPr>
                <w:rFonts w:ascii="Calibri" w:hAnsi="Calibri"/>
                <w:sz w:val="16"/>
                <w:szCs w:val="16"/>
              </w:rPr>
              <w:t xml:space="preserve">LPG Tube control, repair and maintenance license     </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100</w:t>
            </w:r>
          </w:p>
        </w:tc>
        <w:tc>
          <w:tcPr>
            <w:tcW w:w="2773" w:type="dxa"/>
          </w:tcPr>
          <w:p w:rsidR="007D1913" w:rsidRPr="0015783A" w:rsidRDefault="007D1913" w:rsidP="0015783A">
            <w:pPr>
              <w:pStyle w:val="partext"/>
              <w:tabs>
                <w:tab w:val="clear" w:pos="1440"/>
                <w:tab w:val="clear" w:pos="1985"/>
                <w:tab w:val="clear" w:pos="2700"/>
                <w:tab w:val="clear" w:pos="2880"/>
                <w:tab w:val="left" w:pos="252"/>
                <w:tab w:val="left" w:pos="540"/>
              </w:tabs>
              <w:spacing w:before="0" w:after="0" w:line="276" w:lineRule="auto"/>
              <w:ind w:left="0" w:firstLine="252"/>
              <w:jc w:val="left"/>
              <w:rPr>
                <w:rFonts w:ascii="Calibri" w:hAnsi="Calibri" w:cs="Times New Roman"/>
                <w:sz w:val="16"/>
                <w:szCs w:val="16"/>
                <w:lang w:val="en-US"/>
              </w:rPr>
            </w:pPr>
            <w:r w:rsidRPr="0015783A">
              <w:rPr>
                <w:rFonts w:ascii="Calibri" w:hAnsi="Calibri"/>
                <w:sz w:val="16"/>
                <w:szCs w:val="16"/>
              </w:rPr>
              <w:t>- Per ship via seaways</w:t>
            </w: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cs="Times New Roman"/>
                <w:sz w:val="16"/>
                <w:szCs w:val="16"/>
                <w:lang w:val="en-US"/>
              </w:rPr>
            </w:pPr>
            <w:r w:rsidRPr="0015783A">
              <w:rPr>
                <w:rFonts w:ascii="Calibri" w:hAnsi="Calibri"/>
                <w:sz w:val="16"/>
                <w:szCs w:val="16"/>
              </w:rPr>
              <w:t>1500</w:t>
            </w:r>
          </w:p>
        </w:tc>
      </w:tr>
      <w:tr w:rsidR="007D1913" w:rsidRPr="0015783A" w:rsidTr="0015783A">
        <w:tc>
          <w:tcPr>
            <w:tcW w:w="3780" w:type="dxa"/>
            <w:shd w:val="clear" w:color="auto" w:fill="92D050"/>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center"/>
              <w:rPr>
                <w:rFonts w:ascii="Calibri" w:hAnsi="Calibri"/>
                <w:b/>
                <w:sz w:val="16"/>
                <w:szCs w:val="16"/>
              </w:rPr>
            </w:pPr>
            <w:r w:rsidRPr="0015783A">
              <w:rPr>
                <w:rFonts w:ascii="Calibri" w:hAnsi="Calibri"/>
                <w:b/>
                <w:sz w:val="16"/>
                <w:szCs w:val="16"/>
              </w:rPr>
              <w:t>For all types of licenses</w:t>
            </w:r>
          </w:p>
        </w:tc>
        <w:tc>
          <w:tcPr>
            <w:tcW w:w="2070" w:type="dxa"/>
            <w:shd w:val="clear" w:color="auto" w:fill="92D050"/>
          </w:tcPr>
          <w:p w:rsidR="007D1913" w:rsidRPr="0015783A" w:rsidRDefault="004E6EC6"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b/>
                <w:sz w:val="16"/>
                <w:szCs w:val="16"/>
              </w:rPr>
            </w:pPr>
            <w:r w:rsidRPr="0015783A">
              <w:rPr>
                <w:rFonts w:ascii="Calibri" w:hAnsi="Calibri"/>
                <w:b/>
                <w:sz w:val="16"/>
                <w:szCs w:val="16"/>
              </w:rPr>
              <w:t>TRY</w:t>
            </w:r>
          </w:p>
        </w:tc>
        <w:tc>
          <w:tcPr>
            <w:tcW w:w="2773" w:type="dxa"/>
            <w:shd w:val="clear" w:color="auto" w:fill="92D050"/>
          </w:tcPr>
          <w:p w:rsidR="007D1913" w:rsidRPr="0015783A" w:rsidRDefault="00D756AB"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b/>
                <w:sz w:val="16"/>
                <w:szCs w:val="16"/>
              </w:rPr>
            </w:pPr>
            <w:r w:rsidRPr="0015783A">
              <w:rPr>
                <w:rFonts w:ascii="Calibri" w:hAnsi="Calibri"/>
                <w:b/>
                <w:sz w:val="16"/>
                <w:szCs w:val="16"/>
              </w:rPr>
              <w:t>For all types of li</w:t>
            </w:r>
            <w:r w:rsidR="007D1913" w:rsidRPr="0015783A">
              <w:rPr>
                <w:rFonts w:ascii="Calibri" w:hAnsi="Calibri"/>
                <w:b/>
                <w:sz w:val="16"/>
                <w:szCs w:val="16"/>
              </w:rPr>
              <w:t>censes</w:t>
            </w:r>
          </w:p>
        </w:tc>
        <w:tc>
          <w:tcPr>
            <w:tcW w:w="557" w:type="dxa"/>
            <w:shd w:val="clear" w:color="auto" w:fill="92D050"/>
          </w:tcPr>
          <w:p w:rsidR="007D1913" w:rsidRPr="0015783A" w:rsidRDefault="004E6EC6"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b/>
                <w:sz w:val="16"/>
                <w:szCs w:val="16"/>
              </w:rPr>
            </w:pPr>
            <w:r w:rsidRPr="0015783A">
              <w:rPr>
                <w:rFonts w:ascii="Calibri" w:hAnsi="Calibri"/>
                <w:b/>
                <w:sz w:val="16"/>
                <w:szCs w:val="16"/>
              </w:rPr>
              <w:t>TRY</w:t>
            </w:r>
          </w:p>
        </w:tc>
      </w:tr>
      <w:tr w:rsidR="007D1913" w:rsidRPr="0015783A" w:rsidTr="0015783A">
        <w:tc>
          <w:tcPr>
            <w:tcW w:w="378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b/>
                <w:sz w:val="16"/>
                <w:szCs w:val="16"/>
              </w:rPr>
            </w:pPr>
            <w:r w:rsidRPr="0015783A">
              <w:rPr>
                <w:rFonts w:ascii="Calibri" w:hAnsi="Calibri"/>
                <w:sz w:val="16"/>
                <w:szCs w:val="16"/>
              </w:rPr>
              <w:t>License copy</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sz w:val="16"/>
                <w:szCs w:val="16"/>
              </w:rPr>
            </w:pPr>
            <w:r w:rsidRPr="0015783A">
              <w:rPr>
                <w:rFonts w:ascii="Calibri" w:hAnsi="Calibri"/>
                <w:sz w:val="16"/>
                <w:szCs w:val="16"/>
              </w:rPr>
              <w:t>150</w:t>
            </w:r>
          </w:p>
        </w:tc>
        <w:tc>
          <w:tcPr>
            <w:tcW w:w="2773"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b/>
                <w:sz w:val="16"/>
                <w:szCs w:val="16"/>
              </w:rPr>
            </w:pPr>
            <w:r w:rsidRPr="0015783A">
              <w:rPr>
                <w:rFonts w:ascii="Calibri" w:hAnsi="Calibri"/>
                <w:sz w:val="16"/>
                <w:szCs w:val="16"/>
              </w:rPr>
              <w:t>License modification</w:t>
            </w: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sz w:val="16"/>
                <w:szCs w:val="16"/>
              </w:rPr>
            </w:pPr>
            <w:r w:rsidRPr="0015783A">
              <w:rPr>
                <w:rFonts w:ascii="Calibri" w:hAnsi="Calibri"/>
                <w:sz w:val="16"/>
                <w:szCs w:val="16"/>
              </w:rPr>
              <w:t>1000</w:t>
            </w:r>
          </w:p>
        </w:tc>
      </w:tr>
      <w:tr w:rsidR="007D1913" w:rsidRPr="0015783A" w:rsidTr="0015783A">
        <w:tc>
          <w:tcPr>
            <w:tcW w:w="378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sz w:val="16"/>
                <w:szCs w:val="16"/>
              </w:rPr>
            </w:pPr>
            <w:r w:rsidRPr="0015783A">
              <w:rPr>
                <w:rFonts w:ascii="Calibri" w:hAnsi="Calibri"/>
                <w:sz w:val="16"/>
                <w:szCs w:val="16"/>
              </w:rPr>
              <w:t>Time extension</w:t>
            </w:r>
          </w:p>
        </w:tc>
        <w:tc>
          <w:tcPr>
            <w:tcW w:w="2070"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sz w:val="16"/>
                <w:szCs w:val="16"/>
              </w:rPr>
            </w:pPr>
            <w:r w:rsidRPr="0015783A">
              <w:rPr>
                <w:rFonts w:ascii="Calibri" w:hAnsi="Calibri"/>
                <w:sz w:val="16"/>
                <w:szCs w:val="16"/>
              </w:rPr>
              <w:t>50% of the license fee</w:t>
            </w:r>
          </w:p>
        </w:tc>
        <w:tc>
          <w:tcPr>
            <w:tcW w:w="2773"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left"/>
              <w:rPr>
                <w:rFonts w:ascii="Calibri" w:hAnsi="Calibri"/>
                <w:sz w:val="16"/>
                <w:szCs w:val="16"/>
              </w:rPr>
            </w:pPr>
          </w:p>
        </w:tc>
        <w:tc>
          <w:tcPr>
            <w:tcW w:w="557" w:type="dxa"/>
          </w:tcPr>
          <w:p w:rsidR="007D1913" w:rsidRPr="0015783A" w:rsidRDefault="007D1913" w:rsidP="0015783A">
            <w:pPr>
              <w:pStyle w:val="partext"/>
              <w:tabs>
                <w:tab w:val="clear" w:pos="1440"/>
                <w:tab w:val="clear" w:pos="1985"/>
                <w:tab w:val="clear" w:pos="2700"/>
                <w:tab w:val="clear" w:pos="2880"/>
                <w:tab w:val="left" w:pos="0"/>
                <w:tab w:val="left" w:pos="540"/>
              </w:tabs>
              <w:spacing w:before="0" w:after="0" w:line="276" w:lineRule="auto"/>
              <w:ind w:left="0" w:firstLine="0"/>
              <w:jc w:val="right"/>
              <w:rPr>
                <w:rFonts w:ascii="Calibri" w:hAnsi="Calibri"/>
                <w:sz w:val="16"/>
                <w:szCs w:val="16"/>
              </w:rPr>
            </w:pPr>
          </w:p>
        </w:tc>
      </w:tr>
    </w:tbl>
    <w:p w:rsidR="00F87F0A" w:rsidRDefault="00F87F0A" w:rsidP="004B771D">
      <w:pPr>
        <w:tabs>
          <w:tab w:val="left" w:pos="567"/>
        </w:tabs>
        <w:spacing w:after="0"/>
        <w:jc w:val="both"/>
        <w:rPr>
          <w:b/>
          <w:sz w:val="20"/>
          <w:szCs w:val="20"/>
        </w:rPr>
      </w:pPr>
    </w:p>
    <w:p w:rsidR="004B771D" w:rsidRPr="004B771D" w:rsidRDefault="004B771D" w:rsidP="004B771D">
      <w:pPr>
        <w:tabs>
          <w:tab w:val="left" w:pos="567"/>
        </w:tabs>
        <w:spacing w:after="0"/>
        <w:jc w:val="both"/>
        <w:rPr>
          <w:b/>
          <w:sz w:val="20"/>
          <w:szCs w:val="20"/>
        </w:rPr>
      </w:pPr>
      <w:r w:rsidRPr="004B771D">
        <w:rPr>
          <w:b/>
          <w:sz w:val="20"/>
          <w:szCs w:val="20"/>
        </w:rPr>
        <w:t>Portion of Income</w:t>
      </w:r>
    </w:p>
    <w:p w:rsidR="004B771D" w:rsidRPr="004B771D" w:rsidRDefault="004B771D" w:rsidP="004B771D">
      <w:pPr>
        <w:tabs>
          <w:tab w:val="left" w:pos="567"/>
        </w:tabs>
        <w:spacing w:after="0"/>
        <w:jc w:val="both"/>
        <w:rPr>
          <w:sz w:val="20"/>
          <w:szCs w:val="20"/>
        </w:rPr>
      </w:pPr>
      <w:r w:rsidRPr="004B771D">
        <w:rPr>
          <w:sz w:val="20"/>
          <w:szCs w:val="20"/>
        </w:rPr>
        <w:t>Distribution license holders pay 3 YTL portion of income per ton for LPG and this is reflected to the consumers.</w:t>
      </w:r>
    </w:p>
    <w:p w:rsidR="004B771D" w:rsidRPr="004B771D" w:rsidRDefault="004B771D" w:rsidP="004B771D">
      <w:pPr>
        <w:tabs>
          <w:tab w:val="left" w:pos="567"/>
        </w:tabs>
        <w:spacing w:after="0"/>
        <w:jc w:val="both"/>
        <w:rPr>
          <w:b/>
          <w:sz w:val="20"/>
          <w:szCs w:val="20"/>
        </w:rPr>
      </w:pPr>
    </w:p>
    <w:p w:rsidR="004B771D" w:rsidRPr="004B771D" w:rsidRDefault="004B771D" w:rsidP="004B771D">
      <w:pPr>
        <w:tabs>
          <w:tab w:val="left" w:pos="567"/>
        </w:tabs>
        <w:spacing w:after="0"/>
        <w:jc w:val="both"/>
        <w:rPr>
          <w:b/>
          <w:sz w:val="20"/>
          <w:szCs w:val="20"/>
        </w:rPr>
      </w:pPr>
      <w:r w:rsidRPr="004B771D">
        <w:rPr>
          <w:b/>
          <w:sz w:val="20"/>
          <w:szCs w:val="20"/>
        </w:rPr>
        <w:t>Participation Fee</w:t>
      </w:r>
    </w:p>
    <w:p w:rsidR="004B771D" w:rsidRPr="004B771D" w:rsidRDefault="004B771D" w:rsidP="004B771D">
      <w:pPr>
        <w:spacing w:after="0"/>
        <w:ind w:right="-108"/>
        <w:jc w:val="both"/>
        <w:rPr>
          <w:sz w:val="20"/>
          <w:szCs w:val="20"/>
        </w:rPr>
      </w:pPr>
      <w:r w:rsidRPr="004B771D">
        <w:rPr>
          <w:sz w:val="20"/>
          <w:szCs w:val="20"/>
        </w:rPr>
        <w:t xml:space="preserve">The participation fee for 2007, the real or legal persons holding refining undertaking and LPG distribution licenses are liable to pay has been determined as 0.1%. The participation fee, the real or legal persons holding LPG auto gas vendor activity license are liable to pay has been determined as 0 (zero).  </w:t>
      </w:r>
    </w:p>
    <w:p w:rsidR="004B771D" w:rsidRPr="004B771D" w:rsidRDefault="004B771D" w:rsidP="004B771D">
      <w:pPr>
        <w:tabs>
          <w:tab w:val="left" w:pos="567"/>
        </w:tabs>
        <w:spacing w:after="0"/>
        <w:jc w:val="both"/>
        <w:rPr>
          <w:b/>
          <w:sz w:val="20"/>
          <w:szCs w:val="20"/>
        </w:rPr>
      </w:pPr>
    </w:p>
    <w:p w:rsidR="004B771D" w:rsidRPr="004B771D" w:rsidRDefault="004B771D" w:rsidP="004B771D">
      <w:pPr>
        <w:tabs>
          <w:tab w:val="left" w:pos="567"/>
        </w:tabs>
        <w:spacing w:after="0"/>
        <w:jc w:val="both"/>
        <w:rPr>
          <w:b/>
          <w:sz w:val="20"/>
          <w:szCs w:val="20"/>
        </w:rPr>
      </w:pPr>
      <w:r w:rsidRPr="004B771D">
        <w:rPr>
          <w:b/>
          <w:sz w:val="20"/>
          <w:szCs w:val="20"/>
        </w:rPr>
        <w:t>Price Formation</w:t>
      </w:r>
    </w:p>
    <w:p w:rsidR="004B771D" w:rsidRPr="004B771D" w:rsidRDefault="004B771D" w:rsidP="004B771D">
      <w:pPr>
        <w:spacing w:after="0"/>
        <w:ind w:right="-108"/>
        <w:jc w:val="both"/>
        <w:rPr>
          <w:sz w:val="20"/>
          <w:szCs w:val="20"/>
        </w:rPr>
      </w:pPr>
      <w:r w:rsidRPr="004B771D">
        <w:rPr>
          <w:sz w:val="20"/>
          <w:szCs w:val="20"/>
        </w:rPr>
        <w:t>The prices for sale and purchase of LPG are formed according to the attainable world fee market conditions.</w:t>
      </w:r>
      <w:r w:rsidRPr="004B771D">
        <w:rPr>
          <w:b/>
          <w:sz w:val="20"/>
          <w:szCs w:val="20"/>
        </w:rPr>
        <w:t xml:space="preserve"> </w:t>
      </w:r>
      <w:r w:rsidRPr="004B771D">
        <w:rPr>
          <w:sz w:val="20"/>
          <w:szCs w:val="20"/>
        </w:rPr>
        <w:t xml:space="preserve"> </w:t>
      </w:r>
    </w:p>
    <w:p w:rsidR="004B771D" w:rsidRPr="004B771D" w:rsidRDefault="004B771D" w:rsidP="004B771D">
      <w:pPr>
        <w:spacing w:after="0"/>
        <w:ind w:right="-108" w:firstLine="708"/>
        <w:jc w:val="both"/>
        <w:rPr>
          <w:sz w:val="20"/>
          <w:szCs w:val="20"/>
        </w:rPr>
      </w:pPr>
    </w:p>
    <w:p w:rsidR="004B771D" w:rsidRPr="004B771D" w:rsidRDefault="004B771D" w:rsidP="004B771D">
      <w:pPr>
        <w:spacing w:after="0"/>
        <w:ind w:right="-108"/>
        <w:jc w:val="both"/>
        <w:rPr>
          <w:sz w:val="20"/>
          <w:szCs w:val="20"/>
        </w:rPr>
      </w:pPr>
      <w:r w:rsidRPr="004B771D">
        <w:rPr>
          <w:sz w:val="20"/>
          <w:szCs w:val="20"/>
        </w:rPr>
        <w:t xml:space="preserve">Refining undertakings and distributors notify the Authority of the prices regarding their market activities as ceiling prices, taking into account the price formation in the attainable world free markets. </w:t>
      </w:r>
    </w:p>
    <w:p w:rsidR="004B771D" w:rsidRPr="004B771D" w:rsidRDefault="004B771D" w:rsidP="004B771D">
      <w:pPr>
        <w:spacing w:after="0"/>
        <w:ind w:right="-108"/>
        <w:jc w:val="both"/>
        <w:rPr>
          <w:sz w:val="20"/>
          <w:szCs w:val="20"/>
        </w:rPr>
      </w:pPr>
    </w:p>
    <w:p w:rsidR="004B771D" w:rsidRPr="004B771D" w:rsidRDefault="004B771D" w:rsidP="004B771D">
      <w:pPr>
        <w:spacing w:after="0"/>
        <w:ind w:right="-108"/>
        <w:jc w:val="both"/>
        <w:rPr>
          <w:sz w:val="20"/>
          <w:szCs w:val="20"/>
        </w:rPr>
      </w:pPr>
      <w:r w:rsidRPr="004B771D">
        <w:rPr>
          <w:sz w:val="20"/>
          <w:szCs w:val="20"/>
        </w:rPr>
        <w:t xml:space="preserve">However, the Authority is entitled to take the necessary measures and determine base and/or ceiling price to be applied on regional or national level at each stage of the activities and not exceeding two months at each time in case agreements or actions which have deteriorating effects on the market and which aim to hinder, deteriorate or restrict the competition or activities in the LPG market are determined. The principles and procedures and the amount of support to be provided to the users for some specific regions or specific purposes without interfering with the prices are determined upon the proposal of the ministry by the Decree of Council of Ministers. </w:t>
      </w:r>
    </w:p>
    <w:p w:rsidR="004B771D" w:rsidRPr="00F36DBC" w:rsidRDefault="004B771D" w:rsidP="004B771D">
      <w:pPr>
        <w:spacing w:after="0"/>
        <w:jc w:val="center"/>
        <w:rPr>
          <w:b/>
          <w:sz w:val="20"/>
          <w:szCs w:val="20"/>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F87F0A" w:rsidRDefault="00F87F0A" w:rsidP="00E053C0">
      <w:pPr>
        <w:autoSpaceDE w:val="0"/>
        <w:autoSpaceDN w:val="0"/>
        <w:adjustRightInd w:val="0"/>
        <w:spacing w:after="0"/>
        <w:rPr>
          <w:rFonts w:cs="CenturyGothic"/>
          <w:b/>
          <w:sz w:val="20"/>
          <w:szCs w:val="20"/>
          <w:lang w:val="tr-TR" w:eastAsia="tr-TR"/>
        </w:rPr>
      </w:pPr>
    </w:p>
    <w:p w:rsidR="00B44CDE" w:rsidRPr="00B07679" w:rsidRDefault="00B44CDE" w:rsidP="00E053C0">
      <w:pPr>
        <w:autoSpaceDE w:val="0"/>
        <w:autoSpaceDN w:val="0"/>
        <w:adjustRightInd w:val="0"/>
        <w:spacing w:after="0"/>
        <w:rPr>
          <w:rFonts w:cs="CenturyGothic"/>
          <w:b/>
          <w:sz w:val="20"/>
          <w:szCs w:val="20"/>
          <w:lang w:val="tr-TR" w:eastAsia="tr-TR"/>
        </w:rPr>
      </w:pPr>
      <w:r w:rsidRPr="00B07679">
        <w:rPr>
          <w:rFonts w:cs="CenturyGothic"/>
          <w:b/>
          <w:sz w:val="20"/>
          <w:szCs w:val="20"/>
          <w:lang w:val="tr-TR" w:eastAsia="tr-TR"/>
        </w:rPr>
        <w:lastRenderedPageBreak/>
        <w:t>Useful Links:</w:t>
      </w:r>
    </w:p>
    <w:p w:rsidR="00F87F0A" w:rsidRDefault="00F87F0A" w:rsidP="00E053C0">
      <w:pPr>
        <w:autoSpaceDE w:val="0"/>
        <w:autoSpaceDN w:val="0"/>
        <w:adjustRightInd w:val="0"/>
        <w:spacing w:after="0"/>
        <w:rPr>
          <w:rFonts w:cs="CenturyGothic"/>
          <w:sz w:val="20"/>
          <w:szCs w:val="20"/>
          <w:lang w:val="tr-TR" w:eastAsia="tr-TR"/>
        </w:rPr>
      </w:pPr>
      <w:r>
        <w:rPr>
          <w:rFonts w:cs="CenturyGothic"/>
          <w:sz w:val="20"/>
          <w:szCs w:val="20"/>
          <w:lang w:val="tr-TR" w:eastAsia="tr-TR"/>
        </w:rPr>
        <w:t xml:space="preserve">Investment Support and Promotion Agency of Turkey: </w:t>
      </w:r>
      <w:hyperlink r:id="rId17" w:history="1">
        <w:r w:rsidRPr="00A64303">
          <w:rPr>
            <w:rStyle w:val="Hyperlink"/>
            <w:rFonts w:cs="CenturyGothic"/>
            <w:sz w:val="20"/>
            <w:szCs w:val="20"/>
            <w:lang w:val="tr-TR" w:eastAsia="tr-TR"/>
          </w:rPr>
          <w:t>http://www.invest.gov.tr/</w:t>
        </w:r>
      </w:hyperlink>
      <w:r>
        <w:rPr>
          <w:rFonts w:cs="CenturyGothic"/>
          <w:sz w:val="20"/>
          <w:szCs w:val="20"/>
          <w:lang w:val="tr-TR" w:eastAsia="tr-TR"/>
        </w:rPr>
        <w:t xml:space="preserve">  </w:t>
      </w:r>
    </w:p>
    <w:p w:rsidR="00B44CDE" w:rsidRPr="00CD5FC3" w:rsidRDefault="00BB105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General Directorate of Petroleum Affairs: </w:t>
      </w:r>
      <w:hyperlink r:id="rId18" w:history="1">
        <w:r w:rsidR="00B44CDE" w:rsidRPr="00CD5FC3">
          <w:rPr>
            <w:rStyle w:val="Hyperlink"/>
            <w:rFonts w:cs="CenturyGothic"/>
            <w:sz w:val="20"/>
            <w:szCs w:val="20"/>
            <w:lang w:val="tr-TR" w:eastAsia="tr-TR"/>
          </w:rPr>
          <w:t>http://www.pigm.gov.tr/</w:t>
        </w:r>
      </w:hyperlink>
    </w:p>
    <w:p w:rsidR="00B44CDE" w:rsidRPr="00CD5FC3" w:rsidRDefault="00BB105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Turkish Petroleum Refineries Co.: </w:t>
      </w:r>
      <w:hyperlink r:id="rId19" w:history="1">
        <w:r w:rsidR="00B44CDE" w:rsidRPr="00CD5FC3">
          <w:rPr>
            <w:rStyle w:val="Hyperlink"/>
            <w:rFonts w:cs="CenturyGothic"/>
            <w:sz w:val="20"/>
            <w:szCs w:val="20"/>
            <w:lang w:val="tr-TR" w:eastAsia="tr-TR"/>
          </w:rPr>
          <w:t>http://www.tupras.com.tr/</w:t>
        </w:r>
      </w:hyperlink>
      <w:r w:rsidR="00E81406" w:rsidRPr="00CD5FC3">
        <w:rPr>
          <w:rFonts w:cs="CenturyGothic"/>
          <w:sz w:val="20"/>
          <w:szCs w:val="20"/>
          <w:lang w:val="tr-TR" w:eastAsia="tr-TR"/>
        </w:rPr>
        <w:t xml:space="preserve"> </w:t>
      </w:r>
    </w:p>
    <w:p w:rsidR="00B44CDE" w:rsidRPr="00CD5FC3" w:rsidRDefault="00B0767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Turkish Petroleum Co.: </w:t>
      </w:r>
      <w:hyperlink r:id="rId20" w:history="1">
        <w:r w:rsidR="00B44CDE" w:rsidRPr="00CD5FC3">
          <w:rPr>
            <w:rStyle w:val="Hyperlink"/>
            <w:rFonts w:cs="CenturyGothic"/>
            <w:sz w:val="20"/>
            <w:szCs w:val="20"/>
            <w:lang w:val="tr-TR" w:eastAsia="tr-TR"/>
          </w:rPr>
          <w:t>http://www.tpao.gov.tr/</w:t>
        </w:r>
      </w:hyperlink>
      <w:r w:rsidR="00E81406" w:rsidRPr="00CD5FC3">
        <w:rPr>
          <w:rFonts w:cs="CenturyGothic"/>
          <w:sz w:val="20"/>
          <w:szCs w:val="20"/>
          <w:lang w:val="tr-TR" w:eastAsia="tr-TR"/>
        </w:rPr>
        <w:t xml:space="preserve"> </w:t>
      </w:r>
    </w:p>
    <w:p w:rsidR="00B44CDE" w:rsidRPr="00CD5FC3" w:rsidRDefault="00B0767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Petroleum Pipeline Corporation: </w:t>
      </w:r>
      <w:hyperlink r:id="rId21" w:history="1">
        <w:r w:rsidR="00B44CDE" w:rsidRPr="00CD5FC3">
          <w:rPr>
            <w:rStyle w:val="Hyperlink"/>
            <w:rFonts w:cs="CenturyGothic"/>
            <w:sz w:val="20"/>
            <w:szCs w:val="20"/>
            <w:lang w:val="tr-TR" w:eastAsia="tr-TR"/>
          </w:rPr>
          <w:t>http://www.botas.gov.tr/</w:t>
        </w:r>
      </w:hyperlink>
      <w:r w:rsidR="00E81406" w:rsidRPr="00CD5FC3">
        <w:rPr>
          <w:rFonts w:cs="CenturyGothic"/>
          <w:sz w:val="20"/>
          <w:szCs w:val="20"/>
          <w:lang w:val="tr-TR" w:eastAsia="tr-TR"/>
        </w:rPr>
        <w:t xml:space="preserve"> </w:t>
      </w:r>
    </w:p>
    <w:p w:rsidR="00B44CDE" w:rsidRPr="00CD5FC3" w:rsidRDefault="00B0767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Ministry of Energy and Natural Resources: </w:t>
      </w:r>
      <w:hyperlink r:id="rId22" w:history="1">
        <w:r w:rsidR="00B44CDE" w:rsidRPr="00CD5FC3">
          <w:rPr>
            <w:rStyle w:val="Hyperlink"/>
            <w:rFonts w:cs="CenturyGothic"/>
            <w:sz w:val="20"/>
            <w:szCs w:val="20"/>
            <w:lang w:val="tr-TR" w:eastAsia="tr-TR"/>
          </w:rPr>
          <w:t>http://www.enerji.gov.tr/</w:t>
        </w:r>
      </w:hyperlink>
    </w:p>
    <w:p w:rsidR="00B44CDE" w:rsidRPr="00CD5FC3" w:rsidRDefault="00B0767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Energy Market Regulation Authority: </w:t>
      </w:r>
      <w:hyperlink r:id="rId23" w:history="1">
        <w:r w:rsidR="00B44CDE" w:rsidRPr="00CD5FC3">
          <w:rPr>
            <w:rStyle w:val="Hyperlink"/>
            <w:rFonts w:cs="CenturyGothic"/>
            <w:sz w:val="20"/>
            <w:szCs w:val="20"/>
            <w:lang w:val="tr-TR" w:eastAsia="tr-TR"/>
          </w:rPr>
          <w:t>http://www.epdk.gov.tr/</w:t>
        </w:r>
      </w:hyperlink>
      <w:r w:rsidR="00E81406" w:rsidRPr="00CD5FC3">
        <w:rPr>
          <w:rFonts w:cs="CenturyGothic"/>
          <w:sz w:val="20"/>
          <w:szCs w:val="20"/>
          <w:lang w:val="tr-TR" w:eastAsia="tr-TR"/>
        </w:rPr>
        <w:t xml:space="preserve"> </w:t>
      </w:r>
    </w:p>
    <w:p w:rsidR="00E82162" w:rsidRPr="00CD5FC3" w:rsidRDefault="00B07679"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Petroleum Platform Association: </w:t>
      </w:r>
      <w:hyperlink r:id="rId24" w:history="1">
        <w:r w:rsidRPr="00CD5FC3">
          <w:rPr>
            <w:rStyle w:val="Hyperlink"/>
            <w:rFonts w:cs="CenturyGothic"/>
            <w:sz w:val="20"/>
            <w:szCs w:val="20"/>
            <w:lang w:val="tr-TR" w:eastAsia="tr-TR"/>
          </w:rPr>
          <w:t>http://www.petform.org.tr/</w:t>
        </w:r>
      </w:hyperlink>
      <w:r w:rsidR="00E81406" w:rsidRPr="00CD5FC3">
        <w:rPr>
          <w:rFonts w:cs="CenturyGothic"/>
          <w:sz w:val="20"/>
          <w:szCs w:val="20"/>
          <w:lang w:val="tr-TR" w:eastAsia="tr-TR"/>
        </w:rPr>
        <w:t xml:space="preserve"> </w:t>
      </w:r>
    </w:p>
    <w:p w:rsidR="00003A06" w:rsidRPr="00CD5FC3" w:rsidRDefault="00E82162" w:rsidP="00E053C0">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Turkish Association of Petroleum Geol</w:t>
      </w:r>
      <w:r w:rsidR="00497CFF" w:rsidRPr="00CD5FC3">
        <w:rPr>
          <w:rFonts w:cs="CenturyGothic"/>
          <w:sz w:val="20"/>
          <w:szCs w:val="20"/>
          <w:lang w:val="tr-TR" w:eastAsia="tr-TR"/>
        </w:rPr>
        <w:t>og</w:t>
      </w:r>
      <w:r w:rsidRPr="00CD5FC3">
        <w:rPr>
          <w:rFonts w:cs="CenturyGothic"/>
          <w:sz w:val="20"/>
          <w:szCs w:val="20"/>
          <w:lang w:val="tr-TR" w:eastAsia="tr-TR"/>
        </w:rPr>
        <w:t xml:space="preserve">ists: </w:t>
      </w:r>
      <w:hyperlink r:id="rId25" w:history="1">
        <w:r w:rsidRPr="00CD5FC3">
          <w:rPr>
            <w:rStyle w:val="Hyperlink"/>
            <w:rFonts w:cs="CenturyGothic"/>
            <w:sz w:val="20"/>
            <w:szCs w:val="20"/>
            <w:lang w:val="tr-TR" w:eastAsia="tr-TR"/>
          </w:rPr>
          <w:t>http://www.tpjd.org.tr/</w:t>
        </w:r>
      </w:hyperlink>
      <w:r w:rsidR="00B07679" w:rsidRPr="00CD5FC3">
        <w:rPr>
          <w:rFonts w:cs="CenturyGothic"/>
          <w:sz w:val="20"/>
          <w:szCs w:val="20"/>
          <w:lang w:val="tr-TR" w:eastAsia="tr-TR"/>
        </w:rPr>
        <w:t xml:space="preserve"> </w:t>
      </w:r>
    </w:p>
    <w:sectPr w:rsidR="00003A06" w:rsidRPr="00CD5FC3" w:rsidSect="00B062BE">
      <w:footerReference w:type="default" r:id="rId26"/>
      <w:footnotePr>
        <w:numFmt w:val="chicago"/>
      </w:footnotePr>
      <w:pgSz w:w="12240" w:h="15840"/>
      <w:pgMar w:top="900" w:right="990" w:bottom="1170" w:left="1530" w:header="72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C9E" w:rsidRDefault="008E1C9E" w:rsidP="00493743">
      <w:pPr>
        <w:spacing w:after="0" w:line="240" w:lineRule="auto"/>
      </w:pPr>
      <w:r>
        <w:separator/>
      </w:r>
    </w:p>
  </w:endnote>
  <w:endnote w:type="continuationSeparator" w:id="1">
    <w:p w:rsidR="008E1C9E" w:rsidRDefault="008E1C9E" w:rsidP="00493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eniceX">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Gothic">
    <w:panose1 w:val="00000000000000000000"/>
    <w:charset w:val="00"/>
    <w:family w:val="auto"/>
    <w:notTrueType/>
    <w:pitch w:val="default"/>
    <w:sig w:usb0="00000003" w:usb1="08070000" w:usb2="00000010" w:usb3="00000000" w:csb0="00020001" w:csb1="00000000"/>
  </w:font>
  <w:font w:name="Arial TUR">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9E" w:rsidRDefault="008E1C9E" w:rsidP="00493743">
    <w:pPr>
      <w:pStyle w:val="Footer"/>
    </w:pPr>
    <w:r>
      <w:rPr>
        <w:sz w:val="18"/>
        <w:szCs w:val="18"/>
      </w:rPr>
      <w:tab/>
    </w:r>
    <w:hyperlink r:id="rId1" w:history="1">
      <w:r w:rsidRPr="00B574DA">
        <w:rPr>
          <w:rStyle w:val="Hyperlink"/>
          <w:sz w:val="18"/>
          <w:szCs w:val="18"/>
        </w:rPr>
        <w:t>http://www.invest.gov.tr</w:t>
      </w:r>
    </w:hyperlink>
    <w:r>
      <w:tab/>
    </w:r>
    <w:r w:rsidRPr="008F2003">
      <w:rPr>
        <w:sz w:val="20"/>
        <w:szCs w:val="20"/>
      </w:rPr>
      <w:fldChar w:fldCharType="begin"/>
    </w:r>
    <w:r w:rsidRPr="008F2003">
      <w:rPr>
        <w:sz w:val="20"/>
        <w:szCs w:val="20"/>
      </w:rPr>
      <w:instrText xml:space="preserve"> PAGE   \* MERGEFORMAT </w:instrText>
    </w:r>
    <w:r w:rsidRPr="008F2003">
      <w:rPr>
        <w:sz w:val="20"/>
        <w:szCs w:val="20"/>
      </w:rPr>
      <w:fldChar w:fldCharType="separate"/>
    </w:r>
    <w:r w:rsidR="00AA632F">
      <w:rPr>
        <w:noProof/>
        <w:sz w:val="20"/>
        <w:szCs w:val="20"/>
      </w:rPr>
      <w:t>1</w:t>
    </w:r>
    <w:r w:rsidRPr="008F2003">
      <w:rPr>
        <w:sz w:val="20"/>
        <w:szCs w:val="20"/>
      </w:rPr>
      <w:fldChar w:fldCharType="end"/>
    </w:r>
  </w:p>
  <w:p w:rsidR="008E1C9E" w:rsidRDefault="008E1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C9E" w:rsidRDefault="008E1C9E" w:rsidP="00493743">
      <w:pPr>
        <w:spacing w:after="0" w:line="240" w:lineRule="auto"/>
      </w:pPr>
      <w:r>
        <w:separator/>
      </w:r>
    </w:p>
  </w:footnote>
  <w:footnote w:type="continuationSeparator" w:id="1">
    <w:p w:rsidR="008E1C9E" w:rsidRDefault="008E1C9E" w:rsidP="00493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26"/>
    <w:multiLevelType w:val="hybridMultilevel"/>
    <w:tmpl w:val="58A4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4C79"/>
    <w:multiLevelType w:val="hybridMultilevel"/>
    <w:tmpl w:val="5DB4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F3E03"/>
    <w:multiLevelType w:val="hybridMultilevel"/>
    <w:tmpl w:val="7068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893AE5"/>
    <w:multiLevelType w:val="hybridMultilevel"/>
    <w:tmpl w:val="21BA4E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4FC1738"/>
    <w:multiLevelType w:val="hybridMultilevel"/>
    <w:tmpl w:val="00E00FFC"/>
    <w:lvl w:ilvl="0" w:tplc="5C220DC0">
      <w:start w:val="1"/>
      <w:numFmt w:val="bullet"/>
      <w:lvlText w:val=""/>
      <w:lvlJc w:val="left"/>
      <w:pPr>
        <w:tabs>
          <w:tab w:val="num" w:pos="1440"/>
        </w:tabs>
        <w:ind w:left="1440"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5753F5E"/>
    <w:multiLevelType w:val="hybridMultilevel"/>
    <w:tmpl w:val="94563F3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E71DE"/>
    <w:multiLevelType w:val="hybridMultilevel"/>
    <w:tmpl w:val="6556F94C"/>
    <w:lvl w:ilvl="0" w:tplc="70CE3234">
      <w:start w:val="1"/>
      <w:numFmt w:val="bullet"/>
      <w:lvlText w:val=""/>
      <w:lvlJc w:val="left"/>
      <w:pPr>
        <w:tabs>
          <w:tab w:val="num" w:pos="720"/>
        </w:tabs>
        <w:ind w:left="720" w:hanging="360"/>
      </w:pPr>
      <w:rPr>
        <w:rFonts w:ascii="Wingdings" w:hAnsi="Wingdings" w:hint="default"/>
      </w:rPr>
    </w:lvl>
    <w:lvl w:ilvl="1" w:tplc="4C2E0AE0" w:tentative="1">
      <w:start w:val="1"/>
      <w:numFmt w:val="bullet"/>
      <w:lvlText w:val=""/>
      <w:lvlJc w:val="left"/>
      <w:pPr>
        <w:tabs>
          <w:tab w:val="num" w:pos="1440"/>
        </w:tabs>
        <w:ind w:left="1440" w:hanging="360"/>
      </w:pPr>
      <w:rPr>
        <w:rFonts w:ascii="Wingdings" w:hAnsi="Wingdings" w:hint="default"/>
      </w:rPr>
    </w:lvl>
    <w:lvl w:ilvl="2" w:tplc="81ECC578" w:tentative="1">
      <w:start w:val="1"/>
      <w:numFmt w:val="bullet"/>
      <w:lvlText w:val=""/>
      <w:lvlJc w:val="left"/>
      <w:pPr>
        <w:tabs>
          <w:tab w:val="num" w:pos="2160"/>
        </w:tabs>
        <w:ind w:left="2160" w:hanging="360"/>
      </w:pPr>
      <w:rPr>
        <w:rFonts w:ascii="Wingdings" w:hAnsi="Wingdings" w:hint="default"/>
      </w:rPr>
    </w:lvl>
    <w:lvl w:ilvl="3" w:tplc="31841110" w:tentative="1">
      <w:start w:val="1"/>
      <w:numFmt w:val="bullet"/>
      <w:lvlText w:val=""/>
      <w:lvlJc w:val="left"/>
      <w:pPr>
        <w:tabs>
          <w:tab w:val="num" w:pos="2880"/>
        </w:tabs>
        <w:ind w:left="2880" w:hanging="360"/>
      </w:pPr>
      <w:rPr>
        <w:rFonts w:ascii="Wingdings" w:hAnsi="Wingdings" w:hint="default"/>
      </w:rPr>
    </w:lvl>
    <w:lvl w:ilvl="4" w:tplc="0F72EF02" w:tentative="1">
      <w:start w:val="1"/>
      <w:numFmt w:val="bullet"/>
      <w:lvlText w:val=""/>
      <w:lvlJc w:val="left"/>
      <w:pPr>
        <w:tabs>
          <w:tab w:val="num" w:pos="3600"/>
        </w:tabs>
        <w:ind w:left="3600" w:hanging="360"/>
      </w:pPr>
      <w:rPr>
        <w:rFonts w:ascii="Wingdings" w:hAnsi="Wingdings" w:hint="default"/>
      </w:rPr>
    </w:lvl>
    <w:lvl w:ilvl="5" w:tplc="AB127648" w:tentative="1">
      <w:start w:val="1"/>
      <w:numFmt w:val="bullet"/>
      <w:lvlText w:val=""/>
      <w:lvlJc w:val="left"/>
      <w:pPr>
        <w:tabs>
          <w:tab w:val="num" w:pos="4320"/>
        </w:tabs>
        <w:ind w:left="4320" w:hanging="360"/>
      </w:pPr>
      <w:rPr>
        <w:rFonts w:ascii="Wingdings" w:hAnsi="Wingdings" w:hint="default"/>
      </w:rPr>
    </w:lvl>
    <w:lvl w:ilvl="6" w:tplc="4AC61A6A" w:tentative="1">
      <w:start w:val="1"/>
      <w:numFmt w:val="bullet"/>
      <w:lvlText w:val=""/>
      <w:lvlJc w:val="left"/>
      <w:pPr>
        <w:tabs>
          <w:tab w:val="num" w:pos="5040"/>
        </w:tabs>
        <w:ind w:left="5040" w:hanging="360"/>
      </w:pPr>
      <w:rPr>
        <w:rFonts w:ascii="Wingdings" w:hAnsi="Wingdings" w:hint="default"/>
      </w:rPr>
    </w:lvl>
    <w:lvl w:ilvl="7" w:tplc="C1D0E1AE" w:tentative="1">
      <w:start w:val="1"/>
      <w:numFmt w:val="bullet"/>
      <w:lvlText w:val=""/>
      <w:lvlJc w:val="left"/>
      <w:pPr>
        <w:tabs>
          <w:tab w:val="num" w:pos="5760"/>
        </w:tabs>
        <w:ind w:left="5760" w:hanging="360"/>
      </w:pPr>
      <w:rPr>
        <w:rFonts w:ascii="Wingdings" w:hAnsi="Wingdings" w:hint="default"/>
      </w:rPr>
    </w:lvl>
    <w:lvl w:ilvl="8" w:tplc="6FFC9724" w:tentative="1">
      <w:start w:val="1"/>
      <w:numFmt w:val="bullet"/>
      <w:lvlText w:val=""/>
      <w:lvlJc w:val="left"/>
      <w:pPr>
        <w:tabs>
          <w:tab w:val="num" w:pos="6480"/>
        </w:tabs>
        <w:ind w:left="6480" w:hanging="360"/>
      </w:pPr>
      <w:rPr>
        <w:rFonts w:ascii="Wingdings" w:hAnsi="Wingdings" w:hint="default"/>
      </w:rPr>
    </w:lvl>
  </w:abstractNum>
  <w:abstractNum w:abstractNumId="7">
    <w:nsid w:val="27E24A64"/>
    <w:multiLevelType w:val="hybridMultilevel"/>
    <w:tmpl w:val="409C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D86694"/>
    <w:multiLevelType w:val="hybridMultilevel"/>
    <w:tmpl w:val="F71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F1A93"/>
    <w:multiLevelType w:val="hybridMultilevel"/>
    <w:tmpl w:val="950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E0CEA"/>
    <w:multiLevelType w:val="hybridMultilevel"/>
    <w:tmpl w:val="0396E112"/>
    <w:lvl w:ilvl="0" w:tplc="2DDCA9C2">
      <w:start w:val="1"/>
      <w:numFmt w:val="bullet"/>
      <w:lvlText w:val="•"/>
      <w:lvlJc w:val="left"/>
      <w:pPr>
        <w:tabs>
          <w:tab w:val="num" w:pos="720"/>
        </w:tabs>
        <w:ind w:left="720" w:hanging="360"/>
      </w:pPr>
      <w:rPr>
        <w:rFonts w:ascii="Times New Roman" w:hAnsi="Times New Roman" w:hint="default"/>
      </w:rPr>
    </w:lvl>
    <w:lvl w:ilvl="1" w:tplc="F7C04A12" w:tentative="1">
      <w:start w:val="1"/>
      <w:numFmt w:val="bullet"/>
      <w:lvlText w:val="•"/>
      <w:lvlJc w:val="left"/>
      <w:pPr>
        <w:tabs>
          <w:tab w:val="num" w:pos="1440"/>
        </w:tabs>
        <w:ind w:left="1440" w:hanging="360"/>
      </w:pPr>
      <w:rPr>
        <w:rFonts w:ascii="Times New Roman" w:hAnsi="Times New Roman" w:hint="default"/>
      </w:rPr>
    </w:lvl>
    <w:lvl w:ilvl="2" w:tplc="1D3A9E2A" w:tentative="1">
      <w:start w:val="1"/>
      <w:numFmt w:val="bullet"/>
      <w:lvlText w:val="•"/>
      <w:lvlJc w:val="left"/>
      <w:pPr>
        <w:tabs>
          <w:tab w:val="num" w:pos="2160"/>
        </w:tabs>
        <w:ind w:left="2160" w:hanging="360"/>
      </w:pPr>
      <w:rPr>
        <w:rFonts w:ascii="Times New Roman" w:hAnsi="Times New Roman" w:hint="default"/>
      </w:rPr>
    </w:lvl>
    <w:lvl w:ilvl="3" w:tplc="3A589990" w:tentative="1">
      <w:start w:val="1"/>
      <w:numFmt w:val="bullet"/>
      <w:lvlText w:val="•"/>
      <w:lvlJc w:val="left"/>
      <w:pPr>
        <w:tabs>
          <w:tab w:val="num" w:pos="2880"/>
        </w:tabs>
        <w:ind w:left="2880" w:hanging="360"/>
      </w:pPr>
      <w:rPr>
        <w:rFonts w:ascii="Times New Roman" w:hAnsi="Times New Roman" w:hint="default"/>
      </w:rPr>
    </w:lvl>
    <w:lvl w:ilvl="4" w:tplc="B2D046B8" w:tentative="1">
      <w:start w:val="1"/>
      <w:numFmt w:val="bullet"/>
      <w:lvlText w:val="•"/>
      <w:lvlJc w:val="left"/>
      <w:pPr>
        <w:tabs>
          <w:tab w:val="num" w:pos="3600"/>
        </w:tabs>
        <w:ind w:left="3600" w:hanging="360"/>
      </w:pPr>
      <w:rPr>
        <w:rFonts w:ascii="Times New Roman" w:hAnsi="Times New Roman" w:hint="default"/>
      </w:rPr>
    </w:lvl>
    <w:lvl w:ilvl="5" w:tplc="731EA8EC" w:tentative="1">
      <w:start w:val="1"/>
      <w:numFmt w:val="bullet"/>
      <w:lvlText w:val="•"/>
      <w:lvlJc w:val="left"/>
      <w:pPr>
        <w:tabs>
          <w:tab w:val="num" w:pos="4320"/>
        </w:tabs>
        <w:ind w:left="4320" w:hanging="360"/>
      </w:pPr>
      <w:rPr>
        <w:rFonts w:ascii="Times New Roman" w:hAnsi="Times New Roman" w:hint="default"/>
      </w:rPr>
    </w:lvl>
    <w:lvl w:ilvl="6" w:tplc="FAAC5EEA" w:tentative="1">
      <w:start w:val="1"/>
      <w:numFmt w:val="bullet"/>
      <w:lvlText w:val="•"/>
      <w:lvlJc w:val="left"/>
      <w:pPr>
        <w:tabs>
          <w:tab w:val="num" w:pos="5040"/>
        </w:tabs>
        <w:ind w:left="5040" w:hanging="360"/>
      </w:pPr>
      <w:rPr>
        <w:rFonts w:ascii="Times New Roman" w:hAnsi="Times New Roman" w:hint="default"/>
      </w:rPr>
    </w:lvl>
    <w:lvl w:ilvl="7" w:tplc="94261160" w:tentative="1">
      <w:start w:val="1"/>
      <w:numFmt w:val="bullet"/>
      <w:lvlText w:val="•"/>
      <w:lvlJc w:val="left"/>
      <w:pPr>
        <w:tabs>
          <w:tab w:val="num" w:pos="5760"/>
        </w:tabs>
        <w:ind w:left="5760" w:hanging="360"/>
      </w:pPr>
      <w:rPr>
        <w:rFonts w:ascii="Times New Roman" w:hAnsi="Times New Roman" w:hint="default"/>
      </w:rPr>
    </w:lvl>
    <w:lvl w:ilvl="8" w:tplc="151E8E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F90423"/>
    <w:multiLevelType w:val="hybridMultilevel"/>
    <w:tmpl w:val="E320E8A0"/>
    <w:lvl w:ilvl="0" w:tplc="04090001">
      <w:start w:val="1"/>
      <w:numFmt w:val="bullet"/>
      <w:lvlText w:val=""/>
      <w:lvlJc w:val="left"/>
      <w:pPr>
        <w:ind w:left="720" w:hanging="360"/>
      </w:pPr>
      <w:rPr>
        <w:rFonts w:ascii="Symbol" w:hAnsi="Symbol" w:hint="default"/>
      </w:rPr>
    </w:lvl>
    <w:lvl w:ilvl="1" w:tplc="4D88B37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B3F5A"/>
    <w:multiLevelType w:val="hybridMultilevel"/>
    <w:tmpl w:val="423C88AC"/>
    <w:lvl w:ilvl="0" w:tplc="B0D215F0">
      <w:start w:val="1"/>
      <w:numFmt w:val="bullet"/>
      <w:lvlText w:val=""/>
      <w:lvlJc w:val="left"/>
      <w:pPr>
        <w:tabs>
          <w:tab w:val="num" w:pos="720"/>
        </w:tabs>
        <w:ind w:left="720" w:hanging="360"/>
      </w:pPr>
      <w:rPr>
        <w:rFonts w:ascii="Wingdings" w:hAnsi="Wingdings" w:hint="default"/>
      </w:rPr>
    </w:lvl>
    <w:lvl w:ilvl="1" w:tplc="E43ED62A" w:tentative="1">
      <w:start w:val="1"/>
      <w:numFmt w:val="bullet"/>
      <w:lvlText w:val=""/>
      <w:lvlJc w:val="left"/>
      <w:pPr>
        <w:tabs>
          <w:tab w:val="num" w:pos="1440"/>
        </w:tabs>
        <w:ind w:left="1440" w:hanging="360"/>
      </w:pPr>
      <w:rPr>
        <w:rFonts w:ascii="Wingdings" w:hAnsi="Wingdings" w:hint="default"/>
      </w:rPr>
    </w:lvl>
    <w:lvl w:ilvl="2" w:tplc="8E24602C" w:tentative="1">
      <w:start w:val="1"/>
      <w:numFmt w:val="bullet"/>
      <w:lvlText w:val=""/>
      <w:lvlJc w:val="left"/>
      <w:pPr>
        <w:tabs>
          <w:tab w:val="num" w:pos="2160"/>
        </w:tabs>
        <w:ind w:left="2160" w:hanging="360"/>
      </w:pPr>
      <w:rPr>
        <w:rFonts w:ascii="Wingdings" w:hAnsi="Wingdings" w:hint="default"/>
      </w:rPr>
    </w:lvl>
    <w:lvl w:ilvl="3" w:tplc="DD96544E" w:tentative="1">
      <w:start w:val="1"/>
      <w:numFmt w:val="bullet"/>
      <w:lvlText w:val=""/>
      <w:lvlJc w:val="left"/>
      <w:pPr>
        <w:tabs>
          <w:tab w:val="num" w:pos="2880"/>
        </w:tabs>
        <w:ind w:left="2880" w:hanging="360"/>
      </w:pPr>
      <w:rPr>
        <w:rFonts w:ascii="Wingdings" w:hAnsi="Wingdings" w:hint="default"/>
      </w:rPr>
    </w:lvl>
    <w:lvl w:ilvl="4" w:tplc="9BF80C94" w:tentative="1">
      <w:start w:val="1"/>
      <w:numFmt w:val="bullet"/>
      <w:lvlText w:val=""/>
      <w:lvlJc w:val="left"/>
      <w:pPr>
        <w:tabs>
          <w:tab w:val="num" w:pos="3600"/>
        </w:tabs>
        <w:ind w:left="3600" w:hanging="360"/>
      </w:pPr>
      <w:rPr>
        <w:rFonts w:ascii="Wingdings" w:hAnsi="Wingdings" w:hint="default"/>
      </w:rPr>
    </w:lvl>
    <w:lvl w:ilvl="5" w:tplc="E286CF1E" w:tentative="1">
      <w:start w:val="1"/>
      <w:numFmt w:val="bullet"/>
      <w:lvlText w:val=""/>
      <w:lvlJc w:val="left"/>
      <w:pPr>
        <w:tabs>
          <w:tab w:val="num" w:pos="4320"/>
        </w:tabs>
        <w:ind w:left="4320" w:hanging="360"/>
      </w:pPr>
      <w:rPr>
        <w:rFonts w:ascii="Wingdings" w:hAnsi="Wingdings" w:hint="default"/>
      </w:rPr>
    </w:lvl>
    <w:lvl w:ilvl="6" w:tplc="447A898E" w:tentative="1">
      <w:start w:val="1"/>
      <w:numFmt w:val="bullet"/>
      <w:lvlText w:val=""/>
      <w:lvlJc w:val="left"/>
      <w:pPr>
        <w:tabs>
          <w:tab w:val="num" w:pos="5040"/>
        </w:tabs>
        <w:ind w:left="5040" w:hanging="360"/>
      </w:pPr>
      <w:rPr>
        <w:rFonts w:ascii="Wingdings" w:hAnsi="Wingdings" w:hint="default"/>
      </w:rPr>
    </w:lvl>
    <w:lvl w:ilvl="7" w:tplc="92F0A334" w:tentative="1">
      <w:start w:val="1"/>
      <w:numFmt w:val="bullet"/>
      <w:lvlText w:val=""/>
      <w:lvlJc w:val="left"/>
      <w:pPr>
        <w:tabs>
          <w:tab w:val="num" w:pos="5760"/>
        </w:tabs>
        <w:ind w:left="5760" w:hanging="360"/>
      </w:pPr>
      <w:rPr>
        <w:rFonts w:ascii="Wingdings" w:hAnsi="Wingdings" w:hint="default"/>
      </w:rPr>
    </w:lvl>
    <w:lvl w:ilvl="8" w:tplc="ABEE5C1C" w:tentative="1">
      <w:start w:val="1"/>
      <w:numFmt w:val="bullet"/>
      <w:lvlText w:val=""/>
      <w:lvlJc w:val="left"/>
      <w:pPr>
        <w:tabs>
          <w:tab w:val="num" w:pos="6480"/>
        </w:tabs>
        <w:ind w:left="6480" w:hanging="360"/>
      </w:pPr>
      <w:rPr>
        <w:rFonts w:ascii="Wingdings" w:hAnsi="Wingdings" w:hint="default"/>
      </w:rPr>
    </w:lvl>
  </w:abstractNum>
  <w:abstractNum w:abstractNumId="13">
    <w:nsid w:val="6B2369CC"/>
    <w:multiLevelType w:val="hybridMultilevel"/>
    <w:tmpl w:val="EE04AFFC"/>
    <w:lvl w:ilvl="0" w:tplc="D20E07E0">
      <w:start w:val="1"/>
      <w:numFmt w:val="bullet"/>
      <w:lvlText w:val=""/>
      <w:lvlJc w:val="left"/>
      <w:pPr>
        <w:tabs>
          <w:tab w:val="num" w:pos="720"/>
        </w:tabs>
        <w:ind w:left="720" w:hanging="360"/>
      </w:pPr>
      <w:rPr>
        <w:rFonts w:ascii="Wingdings" w:hAnsi="Wingdings" w:hint="default"/>
      </w:rPr>
    </w:lvl>
    <w:lvl w:ilvl="1" w:tplc="9604B292" w:tentative="1">
      <w:start w:val="1"/>
      <w:numFmt w:val="bullet"/>
      <w:lvlText w:val=""/>
      <w:lvlJc w:val="left"/>
      <w:pPr>
        <w:tabs>
          <w:tab w:val="num" w:pos="1440"/>
        </w:tabs>
        <w:ind w:left="1440" w:hanging="360"/>
      </w:pPr>
      <w:rPr>
        <w:rFonts w:ascii="Wingdings" w:hAnsi="Wingdings" w:hint="default"/>
      </w:rPr>
    </w:lvl>
    <w:lvl w:ilvl="2" w:tplc="298A177A" w:tentative="1">
      <w:start w:val="1"/>
      <w:numFmt w:val="bullet"/>
      <w:lvlText w:val=""/>
      <w:lvlJc w:val="left"/>
      <w:pPr>
        <w:tabs>
          <w:tab w:val="num" w:pos="2160"/>
        </w:tabs>
        <w:ind w:left="2160" w:hanging="360"/>
      </w:pPr>
      <w:rPr>
        <w:rFonts w:ascii="Wingdings" w:hAnsi="Wingdings" w:hint="default"/>
      </w:rPr>
    </w:lvl>
    <w:lvl w:ilvl="3" w:tplc="F65CE34A" w:tentative="1">
      <w:start w:val="1"/>
      <w:numFmt w:val="bullet"/>
      <w:lvlText w:val=""/>
      <w:lvlJc w:val="left"/>
      <w:pPr>
        <w:tabs>
          <w:tab w:val="num" w:pos="2880"/>
        </w:tabs>
        <w:ind w:left="2880" w:hanging="360"/>
      </w:pPr>
      <w:rPr>
        <w:rFonts w:ascii="Wingdings" w:hAnsi="Wingdings" w:hint="default"/>
      </w:rPr>
    </w:lvl>
    <w:lvl w:ilvl="4" w:tplc="2530F044" w:tentative="1">
      <w:start w:val="1"/>
      <w:numFmt w:val="bullet"/>
      <w:lvlText w:val=""/>
      <w:lvlJc w:val="left"/>
      <w:pPr>
        <w:tabs>
          <w:tab w:val="num" w:pos="3600"/>
        </w:tabs>
        <w:ind w:left="3600" w:hanging="360"/>
      </w:pPr>
      <w:rPr>
        <w:rFonts w:ascii="Wingdings" w:hAnsi="Wingdings" w:hint="default"/>
      </w:rPr>
    </w:lvl>
    <w:lvl w:ilvl="5" w:tplc="1CB82EAE" w:tentative="1">
      <w:start w:val="1"/>
      <w:numFmt w:val="bullet"/>
      <w:lvlText w:val=""/>
      <w:lvlJc w:val="left"/>
      <w:pPr>
        <w:tabs>
          <w:tab w:val="num" w:pos="4320"/>
        </w:tabs>
        <w:ind w:left="4320" w:hanging="360"/>
      </w:pPr>
      <w:rPr>
        <w:rFonts w:ascii="Wingdings" w:hAnsi="Wingdings" w:hint="default"/>
      </w:rPr>
    </w:lvl>
    <w:lvl w:ilvl="6" w:tplc="317A8EDA" w:tentative="1">
      <w:start w:val="1"/>
      <w:numFmt w:val="bullet"/>
      <w:lvlText w:val=""/>
      <w:lvlJc w:val="left"/>
      <w:pPr>
        <w:tabs>
          <w:tab w:val="num" w:pos="5040"/>
        </w:tabs>
        <w:ind w:left="5040" w:hanging="360"/>
      </w:pPr>
      <w:rPr>
        <w:rFonts w:ascii="Wingdings" w:hAnsi="Wingdings" w:hint="default"/>
      </w:rPr>
    </w:lvl>
    <w:lvl w:ilvl="7" w:tplc="A5B6A6FE" w:tentative="1">
      <w:start w:val="1"/>
      <w:numFmt w:val="bullet"/>
      <w:lvlText w:val=""/>
      <w:lvlJc w:val="left"/>
      <w:pPr>
        <w:tabs>
          <w:tab w:val="num" w:pos="5760"/>
        </w:tabs>
        <w:ind w:left="5760" w:hanging="360"/>
      </w:pPr>
      <w:rPr>
        <w:rFonts w:ascii="Wingdings" w:hAnsi="Wingdings" w:hint="default"/>
      </w:rPr>
    </w:lvl>
    <w:lvl w:ilvl="8" w:tplc="E4ECB992" w:tentative="1">
      <w:start w:val="1"/>
      <w:numFmt w:val="bullet"/>
      <w:lvlText w:val=""/>
      <w:lvlJc w:val="left"/>
      <w:pPr>
        <w:tabs>
          <w:tab w:val="num" w:pos="6480"/>
        </w:tabs>
        <w:ind w:left="6480" w:hanging="360"/>
      </w:pPr>
      <w:rPr>
        <w:rFonts w:ascii="Wingdings" w:hAnsi="Wingdings" w:hint="default"/>
      </w:rPr>
    </w:lvl>
  </w:abstractNum>
  <w:abstractNum w:abstractNumId="14">
    <w:nsid w:val="76E16CED"/>
    <w:multiLevelType w:val="hybridMultilevel"/>
    <w:tmpl w:val="6EFC2DB8"/>
    <w:lvl w:ilvl="0" w:tplc="8C74A2C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63878"/>
    <w:multiLevelType w:val="hybridMultilevel"/>
    <w:tmpl w:val="C99AB3AE"/>
    <w:lvl w:ilvl="0" w:tplc="B9766C92">
      <w:start w:val="1"/>
      <w:numFmt w:val="bullet"/>
      <w:lvlText w:val=""/>
      <w:lvlJc w:val="left"/>
      <w:pPr>
        <w:tabs>
          <w:tab w:val="num" w:pos="720"/>
        </w:tabs>
        <w:ind w:left="720" w:hanging="360"/>
      </w:pPr>
      <w:rPr>
        <w:rFonts w:ascii="Wingdings" w:hAnsi="Wingdings" w:hint="default"/>
      </w:rPr>
    </w:lvl>
    <w:lvl w:ilvl="1" w:tplc="A646480C" w:tentative="1">
      <w:start w:val="1"/>
      <w:numFmt w:val="bullet"/>
      <w:lvlText w:val=""/>
      <w:lvlJc w:val="left"/>
      <w:pPr>
        <w:tabs>
          <w:tab w:val="num" w:pos="1440"/>
        </w:tabs>
        <w:ind w:left="1440" w:hanging="360"/>
      </w:pPr>
      <w:rPr>
        <w:rFonts w:ascii="Wingdings" w:hAnsi="Wingdings" w:hint="default"/>
      </w:rPr>
    </w:lvl>
    <w:lvl w:ilvl="2" w:tplc="7422BEEC" w:tentative="1">
      <w:start w:val="1"/>
      <w:numFmt w:val="bullet"/>
      <w:lvlText w:val=""/>
      <w:lvlJc w:val="left"/>
      <w:pPr>
        <w:tabs>
          <w:tab w:val="num" w:pos="2160"/>
        </w:tabs>
        <w:ind w:left="2160" w:hanging="360"/>
      </w:pPr>
      <w:rPr>
        <w:rFonts w:ascii="Wingdings" w:hAnsi="Wingdings" w:hint="default"/>
      </w:rPr>
    </w:lvl>
    <w:lvl w:ilvl="3" w:tplc="D3E44C2E" w:tentative="1">
      <w:start w:val="1"/>
      <w:numFmt w:val="bullet"/>
      <w:lvlText w:val=""/>
      <w:lvlJc w:val="left"/>
      <w:pPr>
        <w:tabs>
          <w:tab w:val="num" w:pos="2880"/>
        </w:tabs>
        <w:ind w:left="2880" w:hanging="360"/>
      </w:pPr>
      <w:rPr>
        <w:rFonts w:ascii="Wingdings" w:hAnsi="Wingdings" w:hint="default"/>
      </w:rPr>
    </w:lvl>
    <w:lvl w:ilvl="4" w:tplc="002E1E10" w:tentative="1">
      <w:start w:val="1"/>
      <w:numFmt w:val="bullet"/>
      <w:lvlText w:val=""/>
      <w:lvlJc w:val="left"/>
      <w:pPr>
        <w:tabs>
          <w:tab w:val="num" w:pos="3600"/>
        </w:tabs>
        <w:ind w:left="3600" w:hanging="360"/>
      </w:pPr>
      <w:rPr>
        <w:rFonts w:ascii="Wingdings" w:hAnsi="Wingdings" w:hint="default"/>
      </w:rPr>
    </w:lvl>
    <w:lvl w:ilvl="5" w:tplc="929C0834" w:tentative="1">
      <w:start w:val="1"/>
      <w:numFmt w:val="bullet"/>
      <w:lvlText w:val=""/>
      <w:lvlJc w:val="left"/>
      <w:pPr>
        <w:tabs>
          <w:tab w:val="num" w:pos="4320"/>
        </w:tabs>
        <w:ind w:left="4320" w:hanging="360"/>
      </w:pPr>
      <w:rPr>
        <w:rFonts w:ascii="Wingdings" w:hAnsi="Wingdings" w:hint="default"/>
      </w:rPr>
    </w:lvl>
    <w:lvl w:ilvl="6" w:tplc="F3886618" w:tentative="1">
      <w:start w:val="1"/>
      <w:numFmt w:val="bullet"/>
      <w:lvlText w:val=""/>
      <w:lvlJc w:val="left"/>
      <w:pPr>
        <w:tabs>
          <w:tab w:val="num" w:pos="5040"/>
        </w:tabs>
        <w:ind w:left="5040" w:hanging="360"/>
      </w:pPr>
      <w:rPr>
        <w:rFonts w:ascii="Wingdings" w:hAnsi="Wingdings" w:hint="default"/>
      </w:rPr>
    </w:lvl>
    <w:lvl w:ilvl="7" w:tplc="088E8A8E" w:tentative="1">
      <w:start w:val="1"/>
      <w:numFmt w:val="bullet"/>
      <w:lvlText w:val=""/>
      <w:lvlJc w:val="left"/>
      <w:pPr>
        <w:tabs>
          <w:tab w:val="num" w:pos="5760"/>
        </w:tabs>
        <w:ind w:left="5760" w:hanging="360"/>
      </w:pPr>
      <w:rPr>
        <w:rFonts w:ascii="Wingdings" w:hAnsi="Wingdings" w:hint="default"/>
      </w:rPr>
    </w:lvl>
    <w:lvl w:ilvl="8" w:tplc="D272EBB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11"/>
  </w:num>
  <w:num w:numId="6">
    <w:abstractNumId w:val="0"/>
  </w:num>
  <w:num w:numId="7">
    <w:abstractNumId w:val="14"/>
  </w:num>
  <w:num w:numId="8">
    <w:abstractNumId w:val="10"/>
  </w:num>
  <w:num w:numId="9">
    <w:abstractNumId w:val="13"/>
  </w:num>
  <w:num w:numId="10">
    <w:abstractNumId w:val="6"/>
  </w:num>
  <w:num w:numId="11">
    <w:abstractNumId w:val="12"/>
  </w:num>
  <w:num w:numId="12">
    <w:abstractNumId w:val="3"/>
  </w:num>
  <w:num w:numId="13">
    <w:abstractNumId w:val="4"/>
  </w:num>
  <w:num w:numId="14">
    <w:abstractNumId w:val="7"/>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numFmt w:val="chicago"/>
    <w:footnote w:id="0"/>
    <w:footnote w:id="1"/>
  </w:footnotePr>
  <w:endnotePr>
    <w:endnote w:id="0"/>
    <w:endnote w:id="1"/>
  </w:endnotePr>
  <w:compat/>
  <w:rsids>
    <w:rsidRoot w:val="00081FDE"/>
    <w:rsid w:val="00003A06"/>
    <w:rsid w:val="000332BB"/>
    <w:rsid w:val="000368EE"/>
    <w:rsid w:val="0005314B"/>
    <w:rsid w:val="0006430E"/>
    <w:rsid w:val="00064CD5"/>
    <w:rsid w:val="000709A9"/>
    <w:rsid w:val="00081FDE"/>
    <w:rsid w:val="00085C9B"/>
    <w:rsid w:val="00086823"/>
    <w:rsid w:val="0009091E"/>
    <w:rsid w:val="00097F1E"/>
    <w:rsid w:val="000E0752"/>
    <w:rsid w:val="000E5716"/>
    <w:rsid w:val="0011123E"/>
    <w:rsid w:val="00121518"/>
    <w:rsid w:val="0012236B"/>
    <w:rsid w:val="00124A70"/>
    <w:rsid w:val="00126829"/>
    <w:rsid w:val="00141956"/>
    <w:rsid w:val="00153289"/>
    <w:rsid w:val="0015783A"/>
    <w:rsid w:val="001662FB"/>
    <w:rsid w:val="00177585"/>
    <w:rsid w:val="00181096"/>
    <w:rsid w:val="001865DA"/>
    <w:rsid w:val="001878C1"/>
    <w:rsid w:val="00192BA1"/>
    <w:rsid w:val="001963DD"/>
    <w:rsid w:val="001B2278"/>
    <w:rsid w:val="001C172D"/>
    <w:rsid w:val="001D5829"/>
    <w:rsid w:val="001E601E"/>
    <w:rsid w:val="001F09F0"/>
    <w:rsid w:val="001F2050"/>
    <w:rsid w:val="00201262"/>
    <w:rsid w:val="00222C43"/>
    <w:rsid w:val="002336F3"/>
    <w:rsid w:val="0023694D"/>
    <w:rsid w:val="00245FA8"/>
    <w:rsid w:val="002618E4"/>
    <w:rsid w:val="00265F39"/>
    <w:rsid w:val="002713E7"/>
    <w:rsid w:val="00290CA9"/>
    <w:rsid w:val="00297028"/>
    <w:rsid w:val="002975C4"/>
    <w:rsid w:val="002A21E1"/>
    <w:rsid w:val="002B12DF"/>
    <w:rsid w:val="002B44AB"/>
    <w:rsid w:val="002C755C"/>
    <w:rsid w:val="002E39A7"/>
    <w:rsid w:val="002F7396"/>
    <w:rsid w:val="003005CB"/>
    <w:rsid w:val="00312FE3"/>
    <w:rsid w:val="00314E63"/>
    <w:rsid w:val="00317D99"/>
    <w:rsid w:val="0032370D"/>
    <w:rsid w:val="00326F2E"/>
    <w:rsid w:val="00337E8E"/>
    <w:rsid w:val="00342FA6"/>
    <w:rsid w:val="003437A3"/>
    <w:rsid w:val="00354DEC"/>
    <w:rsid w:val="00363C50"/>
    <w:rsid w:val="00370BCB"/>
    <w:rsid w:val="003807B4"/>
    <w:rsid w:val="003828F1"/>
    <w:rsid w:val="003865B6"/>
    <w:rsid w:val="00394F13"/>
    <w:rsid w:val="003C43F0"/>
    <w:rsid w:val="003C7944"/>
    <w:rsid w:val="003D6EC6"/>
    <w:rsid w:val="003E266F"/>
    <w:rsid w:val="003E56F9"/>
    <w:rsid w:val="00402DE3"/>
    <w:rsid w:val="00422C36"/>
    <w:rsid w:val="00425540"/>
    <w:rsid w:val="0043100F"/>
    <w:rsid w:val="004315CC"/>
    <w:rsid w:val="0043479D"/>
    <w:rsid w:val="0043617F"/>
    <w:rsid w:val="00457F40"/>
    <w:rsid w:val="004731B2"/>
    <w:rsid w:val="00486B6E"/>
    <w:rsid w:val="00493743"/>
    <w:rsid w:val="00497704"/>
    <w:rsid w:val="00497CFF"/>
    <w:rsid w:val="00497F4D"/>
    <w:rsid w:val="004A2D95"/>
    <w:rsid w:val="004A62FD"/>
    <w:rsid w:val="004B136E"/>
    <w:rsid w:val="004B3AEF"/>
    <w:rsid w:val="004B771D"/>
    <w:rsid w:val="004D20FC"/>
    <w:rsid w:val="004D2ADD"/>
    <w:rsid w:val="004D428F"/>
    <w:rsid w:val="004D507F"/>
    <w:rsid w:val="004E049B"/>
    <w:rsid w:val="004E29EC"/>
    <w:rsid w:val="004E6EC6"/>
    <w:rsid w:val="004F17BA"/>
    <w:rsid w:val="004F3B53"/>
    <w:rsid w:val="004F49A8"/>
    <w:rsid w:val="00510977"/>
    <w:rsid w:val="005251D6"/>
    <w:rsid w:val="00540DB5"/>
    <w:rsid w:val="00550A20"/>
    <w:rsid w:val="00550D54"/>
    <w:rsid w:val="005552F3"/>
    <w:rsid w:val="00556036"/>
    <w:rsid w:val="00561241"/>
    <w:rsid w:val="0059496F"/>
    <w:rsid w:val="005B279B"/>
    <w:rsid w:val="005B6BA1"/>
    <w:rsid w:val="005C6015"/>
    <w:rsid w:val="005C6F3B"/>
    <w:rsid w:val="005D6E62"/>
    <w:rsid w:val="005E01C7"/>
    <w:rsid w:val="005E5256"/>
    <w:rsid w:val="00601DD2"/>
    <w:rsid w:val="006020AD"/>
    <w:rsid w:val="00656650"/>
    <w:rsid w:val="006617DC"/>
    <w:rsid w:val="00673591"/>
    <w:rsid w:val="006863C5"/>
    <w:rsid w:val="0069764E"/>
    <w:rsid w:val="006A3099"/>
    <w:rsid w:val="006B0339"/>
    <w:rsid w:val="006D76B7"/>
    <w:rsid w:val="006E58AA"/>
    <w:rsid w:val="006E6993"/>
    <w:rsid w:val="006F55E8"/>
    <w:rsid w:val="00712C94"/>
    <w:rsid w:val="00713C6F"/>
    <w:rsid w:val="007266C7"/>
    <w:rsid w:val="00730916"/>
    <w:rsid w:val="007573BB"/>
    <w:rsid w:val="0076039C"/>
    <w:rsid w:val="00762860"/>
    <w:rsid w:val="00762A30"/>
    <w:rsid w:val="0077002E"/>
    <w:rsid w:val="0077290B"/>
    <w:rsid w:val="00774C56"/>
    <w:rsid w:val="00774E4E"/>
    <w:rsid w:val="00797077"/>
    <w:rsid w:val="007A2ACA"/>
    <w:rsid w:val="007A656E"/>
    <w:rsid w:val="007B6261"/>
    <w:rsid w:val="007C330F"/>
    <w:rsid w:val="007D1913"/>
    <w:rsid w:val="007D607F"/>
    <w:rsid w:val="007E65D5"/>
    <w:rsid w:val="007F4A11"/>
    <w:rsid w:val="00801B12"/>
    <w:rsid w:val="00815E8F"/>
    <w:rsid w:val="00824817"/>
    <w:rsid w:val="008260C7"/>
    <w:rsid w:val="00833341"/>
    <w:rsid w:val="00855372"/>
    <w:rsid w:val="0086223A"/>
    <w:rsid w:val="0087214D"/>
    <w:rsid w:val="008725BC"/>
    <w:rsid w:val="00874539"/>
    <w:rsid w:val="0088457C"/>
    <w:rsid w:val="00893732"/>
    <w:rsid w:val="008E1C9E"/>
    <w:rsid w:val="008F2003"/>
    <w:rsid w:val="008F3F1F"/>
    <w:rsid w:val="00902F3B"/>
    <w:rsid w:val="009067CB"/>
    <w:rsid w:val="0091280B"/>
    <w:rsid w:val="00923681"/>
    <w:rsid w:val="00925C83"/>
    <w:rsid w:val="00933345"/>
    <w:rsid w:val="00937D51"/>
    <w:rsid w:val="0094096C"/>
    <w:rsid w:val="00960E39"/>
    <w:rsid w:val="00971D84"/>
    <w:rsid w:val="00973E1E"/>
    <w:rsid w:val="00987009"/>
    <w:rsid w:val="009A033E"/>
    <w:rsid w:val="009C5D55"/>
    <w:rsid w:val="009D657A"/>
    <w:rsid w:val="009E3E83"/>
    <w:rsid w:val="009E53B2"/>
    <w:rsid w:val="00A10B2D"/>
    <w:rsid w:val="00A21B87"/>
    <w:rsid w:val="00A317E2"/>
    <w:rsid w:val="00A44208"/>
    <w:rsid w:val="00A653F0"/>
    <w:rsid w:val="00A71985"/>
    <w:rsid w:val="00A83E8D"/>
    <w:rsid w:val="00A925D7"/>
    <w:rsid w:val="00A95105"/>
    <w:rsid w:val="00AA0723"/>
    <w:rsid w:val="00AA632F"/>
    <w:rsid w:val="00AB5542"/>
    <w:rsid w:val="00AE6F9E"/>
    <w:rsid w:val="00AF09F1"/>
    <w:rsid w:val="00AF2CFB"/>
    <w:rsid w:val="00AF7737"/>
    <w:rsid w:val="00B02028"/>
    <w:rsid w:val="00B044F7"/>
    <w:rsid w:val="00B062BE"/>
    <w:rsid w:val="00B06D4C"/>
    <w:rsid w:val="00B07679"/>
    <w:rsid w:val="00B12BEC"/>
    <w:rsid w:val="00B3231D"/>
    <w:rsid w:val="00B371A3"/>
    <w:rsid w:val="00B44CDE"/>
    <w:rsid w:val="00B51144"/>
    <w:rsid w:val="00B53342"/>
    <w:rsid w:val="00B708EA"/>
    <w:rsid w:val="00B74CBD"/>
    <w:rsid w:val="00B80133"/>
    <w:rsid w:val="00B850A7"/>
    <w:rsid w:val="00B97F62"/>
    <w:rsid w:val="00BA30D7"/>
    <w:rsid w:val="00BB1059"/>
    <w:rsid w:val="00BB330B"/>
    <w:rsid w:val="00BB778E"/>
    <w:rsid w:val="00BD2916"/>
    <w:rsid w:val="00BE1285"/>
    <w:rsid w:val="00BE4639"/>
    <w:rsid w:val="00C23AD8"/>
    <w:rsid w:val="00C36DDF"/>
    <w:rsid w:val="00C41E63"/>
    <w:rsid w:val="00C51D54"/>
    <w:rsid w:val="00C7530B"/>
    <w:rsid w:val="00CA26DB"/>
    <w:rsid w:val="00CB0134"/>
    <w:rsid w:val="00CB3D6A"/>
    <w:rsid w:val="00CB48D1"/>
    <w:rsid w:val="00CD103F"/>
    <w:rsid w:val="00CD14EF"/>
    <w:rsid w:val="00CD5FC3"/>
    <w:rsid w:val="00CD7EAD"/>
    <w:rsid w:val="00CE0806"/>
    <w:rsid w:val="00CE46B8"/>
    <w:rsid w:val="00D21585"/>
    <w:rsid w:val="00D36E3B"/>
    <w:rsid w:val="00D4432C"/>
    <w:rsid w:val="00D50E6B"/>
    <w:rsid w:val="00D756AB"/>
    <w:rsid w:val="00D909CA"/>
    <w:rsid w:val="00D94120"/>
    <w:rsid w:val="00DA65DA"/>
    <w:rsid w:val="00DB7DD1"/>
    <w:rsid w:val="00DC046E"/>
    <w:rsid w:val="00DC33D8"/>
    <w:rsid w:val="00DC44B4"/>
    <w:rsid w:val="00DC5F21"/>
    <w:rsid w:val="00DD2B9D"/>
    <w:rsid w:val="00DE05CC"/>
    <w:rsid w:val="00DE0827"/>
    <w:rsid w:val="00DE5BB2"/>
    <w:rsid w:val="00E053C0"/>
    <w:rsid w:val="00E079FE"/>
    <w:rsid w:val="00E1005D"/>
    <w:rsid w:val="00E100C5"/>
    <w:rsid w:val="00E16603"/>
    <w:rsid w:val="00E25434"/>
    <w:rsid w:val="00E408A8"/>
    <w:rsid w:val="00E420DF"/>
    <w:rsid w:val="00E564EF"/>
    <w:rsid w:val="00E56C77"/>
    <w:rsid w:val="00E5760F"/>
    <w:rsid w:val="00E64869"/>
    <w:rsid w:val="00E66277"/>
    <w:rsid w:val="00E67DAB"/>
    <w:rsid w:val="00E808D6"/>
    <w:rsid w:val="00E81406"/>
    <w:rsid w:val="00E82162"/>
    <w:rsid w:val="00E8718E"/>
    <w:rsid w:val="00EA5B2C"/>
    <w:rsid w:val="00EA7E4E"/>
    <w:rsid w:val="00EC2661"/>
    <w:rsid w:val="00EC4145"/>
    <w:rsid w:val="00EC51D8"/>
    <w:rsid w:val="00ED3417"/>
    <w:rsid w:val="00EF5758"/>
    <w:rsid w:val="00F04905"/>
    <w:rsid w:val="00F06ECF"/>
    <w:rsid w:val="00F15FA5"/>
    <w:rsid w:val="00F31CCE"/>
    <w:rsid w:val="00F34412"/>
    <w:rsid w:val="00F36DBC"/>
    <w:rsid w:val="00F4277E"/>
    <w:rsid w:val="00F431CD"/>
    <w:rsid w:val="00F56AB7"/>
    <w:rsid w:val="00F61E93"/>
    <w:rsid w:val="00F7743C"/>
    <w:rsid w:val="00F832B2"/>
    <w:rsid w:val="00F87F0A"/>
    <w:rsid w:val="00FA3FD7"/>
    <w:rsid w:val="00FA6B44"/>
    <w:rsid w:val="00FE4418"/>
    <w:rsid w:val="00FF3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B7"/>
    <w:pPr>
      <w:spacing w:after="200" w:line="276" w:lineRule="auto"/>
    </w:pPr>
    <w:rPr>
      <w:sz w:val="22"/>
      <w:szCs w:val="22"/>
      <w:lang w:val="en-US" w:eastAsia="en-US"/>
    </w:rPr>
  </w:style>
  <w:style w:type="paragraph" w:styleId="Heading2">
    <w:name w:val="heading 2"/>
    <w:basedOn w:val="Normal"/>
    <w:next w:val="Normal"/>
    <w:link w:val="Heading2Char"/>
    <w:qFormat/>
    <w:rsid w:val="00CB48D1"/>
    <w:pPr>
      <w:keepNext/>
      <w:spacing w:after="0" w:line="240" w:lineRule="auto"/>
      <w:jc w:val="right"/>
      <w:outlineLvl w:val="1"/>
    </w:pPr>
    <w:rPr>
      <w:rFonts w:ascii="Times New Roman" w:eastAsia="Times New Roman" w:hAnsi="Times New Roman"/>
      <w:b/>
      <w:bCs/>
      <w:color w:val="000000"/>
      <w:sz w:val="24"/>
      <w:szCs w:val="24"/>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743"/>
    <w:pPr>
      <w:tabs>
        <w:tab w:val="center" w:pos="4680"/>
        <w:tab w:val="right" w:pos="9360"/>
      </w:tabs>
    </w:pPr>
  </w:style>
  <w:style w:type="character" w:customStyle="1" w:styleId="FooterChar">
    <w:name w:val="Footer Char"/>
    <w:basedOn w:val="DefaultParagraphFont"/>
    <w:link w:val="Footer"/>
    <w:uiPriority w:val="99"/>
    <w:rsid w:val="00493743"/>
    <w:rPr>
      <w:sz w:val="22"/>
      <w:szCs w:val="22"/>
    </w:rPr>
  </w:style>
  <w:style w:type="paragraph" w:styleId="FootnoteText">
    <w:name w:val="footnote text"/>
    <w:basedOn w:val="Normal"/>
    <w:link w:val="FootnoteTextChar"/>
    <w:uiPriority w:val="99"/>
    <w:semiHidden/>
    <w:unhideWhenUsed/>
    <w:rsid w:val="00493743"/>
    <w:rPr>
      <w:sz w:val="20"/>
      <w:szCs w:val="20"/>
    </w:rPr>
  </w:style>
  <w:style w:type="character" w:customStyle="1" w:styleId="FootnoteTextChar">
    <w:name w:val="Footnote Text Char"/>
    <w:basedOn w:val="DefaultParagraphFont"/>
    <w:link w:val="FootnoteText"/>
    <w:uiPriority w:val="99"/>
    <w:semiHidden/>
    <w:rsid w:val="00493743"/>
  </w:style>
  <w:style w:type="character" w:styleId="FootnoteReference">
    <w:name w:val="footnote reference"/>
    <w:basedOn w:val="DefaultParagraphFont"/>
    <w:uiPriority w:val="99"/>
    <w:semiHidden/>
    <w:unhideWhenUsed/>
    <w:rsid w:val="00493743"/>
    <w:rPr>
      <w:vertAlign w:val="superscript"/>
    </w:rPr>
  </w:style>
  <w:style w:type="paragraph" w:styleId="ListParagraph">
    <w:name w:val="List Paragraph"/>
    <w:basedOn w:val="Normal"/>
    <w:uiPriority w:val="34"/>
    <w:qFormat/>
    <w:rsid w:val="00493743"/>
    <w:pPr>
      <w:ind w:left="720"/>
      <w:contextualSpacing/>
    </w:pPr>
  </w:style>
  <w:style w:type="paragraph" w:styleId="NormalWeb">
    <w:name w:val="Normal (Web)"/>
    <w:basedOn w:val="Normal"/>
    <w:unhideWhenUsed/>
    <w:rsid w:val="0049374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37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709A9"/>
    <w:rPr>
      <w:color w:val="EE1B24"/>
      <w:u w:val="single"/>
    </w:rPr>
  </w:style>
  <w:style w:type="character" w:customStyle="1" w:styleId="A16">
    <w:name w:val="A16"/>
    <w:basedOn w:val="DefaultParagraphFont"/>
    <w:uiPriority w:val="99"/>
    <w:rsid w:val="001B2278"/>
    <w:rPr>
      <w:rFonts w:ascii="FeniceX" w:hAnsi="FeniceX" w:hint="default"/>
      <w:color w:val="202024"/>
    </w:rPr>
  </w:style>
  <w:style w:type="character" w:customStyle="1" w:styleId="brokenlink">
    <w:name w:val="brokenlink"/>
    <w:basedOn w:val="DefaultParagraphFont"/>
    <w:rsid w:val="001865DA"/>
  </w:style>
  <w:style w:type="paragraph" w:styleId="EndnoteText">
    <w:name w:val="endnote text"/>
    <w:basedOn w:val="Normal"/>
    <w:link w:val="EndnoteTextChar"/>
    <w:uiPriority w:val="99"/>
    <w:semiHidden/>
    <w:unhideWhenUsed/>
    <w:rsid w:val="007D607F"/>
    <w:rPr>
      <w:sz w:val="20"/>
      <w:szCs w:val="20"/>
    </w:rPr>
  </w:style>
  <w:style w:type="character" w:customStyle="1" w:styleId="EndnoteTextChar">
    <w:name w:val="Endnote Text Char"/>
    <w:basedOn w:val="DefaultParagraphFont"/>
    <w:link w:val="EndnoteText"/>
    <w:uiPriority w:val="99"/>
    <w:semiHidden/>
    <w:rsid w:val="007D607F"/>
  </w:style>
  <w:style w:type="character" w:styleId="EndnoteReference">
    <w:name w:val="endnote reference"/>
    <w:basedOn w:val="DefaultParagraphFont"/>
    <w:uiPriority w:val="99"/>
    <w:semiHidden/>
    <w:unhideWhenUsed/>
    <w:rsid w:val="007D607F"/>
    <w:rPr>
      <w:vertAlign w:val="superscript"/>
    </w:rPr>
  </w:style>
  <w:style w:type="paragraph" w:styleId="Header">
    <w:name w:val="header"/>
    <w:basedOn w:val="Normal"/>
    <w:link w:val="HeaderChar"/>
    <w:uiPriority w:val="99"/>
    <w:semiHidden/>
    <w:unhideWhenUsed/>
    <w:rsid w:val="0009091E"/>
    <w:pPr>
      <w:tabs>
        <w:tab w:val="center" w:pos="4680"/>
        <w:tab w:val="right" w:pos="9360"/>
      </w:tabs>
    </w:pPr>
  </w:style>
  <w:style w:type="character" w:customStyle="1" w:styleId="HeaderChar">
    <w:name w:val="Header Char"/>
    <w:basedOn w:val="DefaultParagraphFont"/>
    <w:link w:val="Header"/>
    <w:uiPriority w:val="99"/>
    <w:semiHidden/>
    <w:rsid w:val="0009091E"/>
    <w:rPr>
      <w:sz w:val="22"/>
      <w:szCs w:val="22"/>
    </w:rPr>
  </w:style>
  <w:style w:type="character" w:styleId="FollowedHyperlink">
    <w:name w:val="FollowedHyperlink"/>
    <w:basedOn w:val="DefaultParagraphFont"/>
    <w:uiPriority w:val="99"/>
    <w:semiHidden/>
    <w:unhideWhenUsed/>
    <w:rsid w:val="002E39A7"/>
    <w:rPr>
      <w:color w:val="800080"/>
      <w:u w:val="single"/>
    </w:rPr>
  </w:style>
  <w:style w:type="character" w:customStyle="1" w:styleId="csssubheading1">
    <w:name w:val="csssubheading1"/>
    <w:basedOn w:val="DefaultParagraphFont"/>
    <w:rsid w:val="00DC44B4"/>
  </w:style>
  <w:style w:type="character" w:customStyle="1" w:styleId="csssubheading2">
    <w:name w:val="csssubheading2"/>
    <w:basedOn w:val="DefaultParagraphFont"/>
    <w:rsid w:val="00DC44B4"/>
  </w:style>
  <w:style w:type="paragraph" w:customStyle="1" w:styleId="partext">
    <w:name w:val="par text"/>
    <w:basedOn w:val="PlainText"/>
    <w:rsid w:val="00003A06"/>
    <w:pPr>
      <w:widowControl w:val="0"/>
      <w:tabs>
        <w:tab w:val="left" w:pos="1440"/>
        <w:tab w:val="left" w:pos="1985"/>
        <w:tab w:val="num" w:pos="2700"/>
        <w:tab w:val="left" w:pos="2880"/>
      </w:tabs>
      <w:adjustRightInd w:val="0"/>
      <w:spacing w:before="120" w:after="120" w:line="360" w:lineRule="atLeast"/>
      <w:ind w:left="900" w:firstLine="720"/>
      <w:jc w:val="both"/>
      <w:textAlignment w:val="baseline"/>
    </w:pPr>
    <w:rPr>
      <w:rFonts w:ascii="Times New Roman" w:eastAsia="Times New Roman" w:hAnsi="Times New Roman"/>
      <w:w w:val="105"/>
      <w:sz w:val="24"/>
      <w:lang w:val="tr-TR" w:eastAsia="tr-TR"/>
    </w:rPr>
  </w:style>
  <w:style w:type="paragraph" w:styleId="PlainText">
    <w:name w:val="Plain Text"/>
    <w:basedOn w:val="Normal"/>
    <w:link w:val="PlainTextChar"/>
    <w:uiPriority w:val="99"/>
    <w:semiHidden/>
    <w:unhideWhenUsed/>
    <w:rsid w:val="00003A0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03A06"/>
    <w:rPr>
      <w:rFonts w:ascii="Courier New" w:hAnsi="Courier New" w:cs="Courier New"/>
      <w:lang w:val="en-US" w:eastAsia="en-US"/>
    </w:rPr>
  </w:style>
  <w:style w:type="table" w:customStyle="1" w:styleId="LightGrid-Accent11">
    <w:name w:val="Light Grid - Accent 11"/>
    <w:basedOn w:val="TableNormal"/>
    <w:uiPriority w:val="62"/>
    <w:rsid w:val="00EA5B2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2Char">
    <w:name w:val="Heading 2 Char"/>
    <w:basedOn w:val="DefaultParagraphFont"/>
    <w:link w:val="Heading2"/>
    <w:rsid w:val="00CB48D1"/>
    <w:rPr>
      <w:rFonts w:ascii="Times New Roman" w:eastAsia="Times New Roman" w:hAnsi="Times New Roman"/>
      <w:b/>
      <w:bCs/>
      <w:color w:val="000000"/>
      <w:sz w:val="24"/>
      <w:szCs w:val="24"/>
      <w:lang w:eastAsia="en-US"/>
    </w:rPr>
  </w:style>
  <w:style w:type="paragraph" w:styleId="BodyText2">
    <w:name w:val="Body Text 2"/>
    <w:basedOn w:val="Normal"/>
    <w:link w:val="BodyText2Char"/>
    <w:rsid w:val="00CB48D1"/>
    <w:pPr>
      <w:spacing w:after="120" w:line="480" w:lineRule="auto"/>
    </w:pPr>
    <w:rPr>
      <w:rFonts w:ascii="Times New Roman" w:eastAsia="Times New Roman" w:hAnsi="Times New Roman"/>
      <w:sz w:val="24"/>
      <w:szCs w:val="24"/>
      <w:lang w:val="tr-TR"/>
    </w:rPr>
  </w:style>
  <w:style w:type="character" w:customStyle="1" w:styleId="BodyText2Char">
    <w:name w:val="Body Text 2 Char"/>
    <w:basedOn w:val="DefaultParagraphFont"/>
    <w:link w:val="BodyText2"/>
    <w:rsid w:val="00CB48D1"/>
    <w:rPr>
      <w:rFonts w:ascii="Times New Roman" w:eastAsia="Times New Roman" w:hAnsi="Times New Roman"/>
      <w:sz w:val="24"/>
      <w:szCs w:val="24"/>
      <w:lang w:eastAsia="en-US"/>
    </w:rPr>
  </w:style>
  <w:style w:type="paragraph" w:styleId="BodyTextIndent3">
    <w:name w:val="Body Text Indent 3"/>
    <w:basedOn w:val="Normal"/>
    <w:link w:val="BodyTextIndent3Char"/>
    <w:rsid w:val="00CB48D1"/>
    <w:pPr>
      <w:spacing w:after="0" w:line="240" w:lineRule="auto"/>
      <w:ind w:firstLine="432"/>
      <w:jc w:val="both"/>
    </w:pPr>
    <w:rPr>
      <w:rFonts w:ascii="Times New Roman" w:eastAsia="Times New Roman" w:hAnsi="Times New Roman"/>
      <w:sz w:val="20"/>
      <w:szCs w:val="20"/>
      <w:lang w:val="tr-TR"/>
    </w:rPr>
  </w:style>
  <w:style w:type="character" w:customStyle="1" w:styleId="BodyTextIndent3Char">
    <w:name w:val="Body Text Indent 3 Char"/>
    <w:basedOn w:val="DefaultParagraphFont"/>
    <w:link w:val="BodyTextIndent3"/>
    <w:rsid w:val="00CB48D1"/>
    <w:rPr>
      <w:rFonts w:ascii="Times New Roman" w:eastAsia="Times New Roman" w:hAnsi="Times New Roman"/>
      <w:lang w:eastAsia="en-US"/>
    </w:rPr>
  </w:style>
  <w:style w:type="paragraph" w:styleId="BodyTextIndent">
    <w:name w:val="Body Text Indent"/>
    <w:basedOn w:val="Normal"/>
    <w:link w:val="BodyTextIndentChar"/>
    <w:rsid w:val="00CB48D1"/>
    <w:pPr>
      <w:spacing w:after="0" w:line="240" w:lineRule="auto"/>
      <w:ind w:hanging="108"/>
      <w:jc w:val="both"/>
    </w:pPr>
    <w:rPr>
      <w:rFonts w:ascii="Times New Roman" w:eastAsia="Times New Roman" w:hAnsi="Times New Roman"/>
      <w:sz w:val="20"/>
      <w:szCs w:val="20"/>
      <w:lang w:val="tr-TR"/>
    </w:rPr>
  </w:style>
  <w:style w:type="character" w:customStyle="1" w:styleId="BodyTextIndentChar">
    <w:name w:val="Body Text Indent Char"/>
    <w:basedOn w:val="DefaultParagraphFont"/>
    <w:link w:val="BodyTextIndent"/>
    <w:rsid w:val="00CB48D1"/>
    <w:rPr>
      <w:rFonts w:ascii="Times New Roman" w:eastAsia="Times New Roman" w:hAnsi="Times New Roman"/>
      <w:lang w:eastAsia="en-US"/>
    </w:rPr>
  </w:style>
  <w:style w:type="paragraph" w:styleId="BlockText">
    <w:name w:val="Block Text"/>
    <w:basedOn w:val="Normal"/>
    <w:rsid w:val="00CB48D1"/>
    <w:pPr>
      <w:widowControl w:val="0"/>
      <w:shd w:val="clear" w:color="auto" w:fill="FFFFFF"/>
      <w:spacing w:after="0" w:line="173" w:lineRule="exact"/>
      <w:ind w:left="288" w:right="1440" w:hanging="4"/>
    </w:pPr>
    <w:rPr>
      <w:rFonts w:ascii="Times New Roman" w:eastAsia="Times New Roman" w:hAnsi="Times New Roman"/>
      <w:snapToGrid w:val="0"/>
      <w:color w:val="000000"/>
      <w:spacing w:val="-3"/>
      <w:sz w:val="20"/>
      <w:szCs w:val="20"/>
      <w:lang w:val="tr-TR"/>
    </w:rPr>
  </w:style>
  <w:style w:type="paragraph" w:styleId="BalloonText">
    <w:name w:val="Balloon Text"/>
    <w:basedOn w:val="Normal"/>
    <w:link w:val="BalloonTextChar"/>
    <w:uiPriority w:val="99"/>
    <w:semiHidden/>
    <w:unhideWhenUsed/>
    <w:rsid w:val="00DE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B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6732977">
      <w:bodyDiv w:val="1"/>
      <w:marLeft w:val="0"/>
      <w:marRight w:val="0"/>
      <w:marTop w:val="0"/>
      <w:marBottom w:val="0"/>
      <w:divBdr>
        <w:top w:val="none" w:sz="0" w:space="0" w:color="auto"/>
        <w:left w:val="none" w:sz="0" w:space="0" w:color="auto"/>
        <w:bottom w:val="none" w:sz="0" w:space="0" w:color="auto"/>
        <w:right w:val="none" w:sz="0" w:space="0" w:color="auto"/>
      </w:divBdr>
      <w:divsChild>
        <w:div w:id="379717922">
          <w:marLeft w:val="0"/>
          <w:marRight w:val="0"/>
          <w:marTop w:val="0"/>
          <w:marBottom w:val="0"/>
          <w:divBdr>
            <w:top w:val="none" w:sz="0" w:space="0" w:color="auto"/>
            <w:left w:val="none" w:sz="0" w:space="0" w:color="auto"/>
            <w:bottom w:val="none" w:sz="0" w:space="0" w:color="auto"/>
            <w:right w:val="none" w:sz="0" w:space="0" w:color="auto"/>
          </w:divBdr>
        </w:div>
        <w:div w:id="786000385">
          <w:marLeft w:val="0"/>
          <w:marRight w:val="0"/>
          <w:marTop w:val="0"/>
          <w:marBottom w:val="0"/>
          <w:divBdr>
            <w:top w:val="none" w:sz="0" w:space="0" w:color="auto"/>
            <w:left w:val="none" w:sz="0" w:space="0" w:color="auto"/>
            <w:bottom w:val="none" w:sz="0" w:space="0" w:color="auto"/>
            <w:right w:val="none" w:sz="0" w:space="0" w:color="auto"/>
          </w:divBdr>
        </w:div>
        <w:div w:id="1365205412">
          <w:marLeft w:val="0"/>
          <w:marRight w:val="0"/>
          <w:marTop w:val="0"/>
          <w:marBottom w:val="0"/>
          <w:divBdr>
            <w:top w:val="none" w:sz="0" w:space="0" w:color="auto"/>
            <w:left w:val="none" w:sz="0" w:space="0" w:color="auto"/>
            <w:bottom w:val="none" w:sz="0" w:space="0" w:color="auto"/>
            <w:right w:val="none" w:sz="0" w:space="0" w:color="auto"/>
          </w:divBdr>
        </w:div>
        <w:div w:id="1687445838">
          <w:marLeft w:val="0"/>
          <w:marRight w:val="0"/>
          <w:marTop w:val="0"/>
          <w:marBottom w:val="0"/>
          <w:divBdr>
            <w:top w:val="none" w:sz="0" w:space="0" w:color="auto"/>
            <w:left w:val="none" w:sz="0" w:space="0" w:color="auto"/>
            <w:bottom w:val="none" w:sz="0" w:space="0" w:color="auto"/>
            <w:right w:val="none" w:sz="0" w:space="0" w:color="auto"/>
          </w:divBdr>
        </w:div>
        <w:div w:id="1691956835">
          <w:marLeft w:val="0"/>
          <w:marRight w:val="0"/>
          <w:marTop w:val="0"/>
          <w:marBottom w:val="0"/>
          <w:divBdr>
            <w:top w:val="none" w:sz="0" w:space="0" w:color="auto"/>
            <w:left w:val="none" w:sz="0" w:space="0" w:color="auto"/>
            <w:bottom w:val="none" w:sz="0" w:space="0" w:color="auto"/>
            <w:right w:val="none" w:sz="0" w:space="0" w:color="auto"/>
          </w:divBdr>
        </w:div>
        <w:div w:id="2063091399">
          <w:marLeft w:val="0"/>
          <w:marRight w:val="0"/>
          <w:marTop w:val="0"/>
          <w:marBottom w:val="0"/>
          <w:divBdr>
            <w:top w:val="none" w:sz="0" w:space="0" w:color="auto"/>
            <w:left w:val="none" w:sz="0" w:space="0" w:color="auto"/>
            <w:bottom w:val="none" w:sz="0" w:space="0" w:color="auto"/>
            <w:right w:val="none" w:sz="0" w:space="0" w:color="auto"/>
          </w:divBdr>
        </w:div>
        <w:div w:id="2145654939">
          <w:marLeft w:val="0"/>
          <w:marRight w:val="0"/>
          <w:marTop w:val="0"/>
          <w:marBottom w:val="0"/>
          <w:divBdr>
            <w:top w:val="none" w:sz="0" w:space="0" w:color="auto"/>
            <w:left w:val="none" w:sz="0" w:space="0" w:color="auto"/>
            <w:bottom w:val="none" w:sz="0" w:space="0" w:color="auto"/>
            <w:right w:val="none" w:sz="0" w:space="0" w:color="auto"/>
          </w:divBdr>
        </w:div>
      </w:divsChild>
    </w:div>
    <w:div w:id="165361832">
      <w:bodyDiv w:val="1"/>
      <w:marLeft w:val="0"/>
      <w:marRight w:val="0"/>
      <w:marTop w:val="0"/>
      <w:marBottom w:val="0"/>
      <w:divBdr>
        <w:top w:val="none" w:sz="0" w:space="0" w:color="auto"/>
        <w:left w:val="none" w:sz="0" w:space="0" w:color="auto"/>
        <w:bottom w:val="none" w:sz="0" w:space="0" w:color="auto"/>
        <w:right w:val="none" w:sz="0" w:space="0" w:color="auto"/>
      </w:divBdr>
    </w:div>
    <w:div w:id="169565192">
      <w:bodyDiv w:val="1"/>
      <w:marLeft w:val="0"/>
      <w:marRight w:val="0"/>
      <w:marTop w:val="0"/>
      <w:marBottom w:val="0"/>
      <w:divBdr>
        <w:top w:val="none" w:sz="0" w:space="0" w:color="auto"/>
        <w:left w:val="none" w:sz="0" w:space="0" w:color="auto"/>
        <w:bottom w:val="none" w:sz="0" w:space="0" w:color="auto"/>
        <w:right w:val="none" w:sz="0" w:space="0" w:color="auto"/>
      </w:divBdr>
    </w:div>
    <w:div w:id="213347343">
      <w:bodyDiv w:val="1"/>
      <w:marLeft w:val="0"/>
      <w:marRight w:val="0"/>
      <w:marTop w:val="0"/>
      <w:marBottom w:val="0"/>
      <w:divBdr>
        <w:top w:val="none" w:sz="0" w:space="0" w:color="auto"/>
        <w:left w:val="none" w:sz="0" w:space="0" w:color="auto"/>
        <w:bottom w:val="none" w:sz="0" w:space="0" w:color="auto"/>
        <w:right w:val="none" w:sz="0" w:space="0" w:color="auto"/>
      </w:divBdr>
      <w:divsChild>
        <w:div w:id="668563075">
          <w:marLeft w:val="0"/>
          <w:marRight w:val="0"/>
          <w:marTop w:val="0"/>
          <w:marBottom w:val="0"/>
          <w:divBdr>
            <w:top w:val="none" w:sz="0" w:space="0" w:color="auto"/>
            <w:left w:val="none" w:sz="0" w:space="0" w:color="auto"/>
            <w:bottom w:val="none" w:sz="0" w:space="0" w:color="auto"/>
            <w:right w:val="none" w:sz="0" w:space="0" w:color="auto"/>
          </w:divBdr>
        </w:div>
        <w:div w:id="849180650">
          <w:marLeft w:val="0"/>
          <w:marRight w:val="0"/>
          <w:marTop w:val="0"/>
          <w:marBottom w:val="0"/>
          <w:divBdr>
            <w:top w:val="none" w:sz="0" w:space="0" w:color="auto"/>
            <w:left w:val="none" w:sz="0" w:space="0" w:color="auto"/>
            <w:bottom w:val="none" w:sz="0" w:space="0" w:color="auto"/>
            <w:right w:val="none" w:sz="0" w:space="0" w:color="auto"/>
          </w:divBdr>
        </w:div>
        <w:div w:id="1782190919">
          <w:marLeft w:val="0"/>
          <w:marRight w:val="0"/>
          <w:marTop w:val="0"/>
          <w:marBottom w:val="0"/>
          <w:divBdr>
            <w:top w:val="none" w:sz="0" w:space="0" w:color="auto"/>
            <w:left w:val="none" w:sz="0" w:space="0" w:color="auto"/>
            <w:bottom w:val="none" w:sz="0" w:space="0" w:color="auto"/>
            <w:right w:val="none" w:sz="0" w:space="0" w:color="auto"/>
          </w:divBdr>
        </w:div>
      </w:divsChild>
    </w:div>
    <w:div w:id="222375795">
      <w:bodyDiv w:val="1"/>
      <w:marLeft w:val="0"/>
      <w:marRight w:val="0"/>
      <w:marTop w:val="0"/>
      <w:marBottom w:val="0"/>
      <w:divBdr>
        <w:top w:val="none" w:sz="0" w:space="0" w:color="auto"/>
        <w:left w:val="none" w:sz="0" w:space="0" w:color="auto"/>
        <w:bottom w:val="none" w:sz="0" w:space="0" w:color="auto"/>
        <w:right w:val="none" w:sz="0" w:space="0" w:color="auto"/>
      </w:divBdr>
    </w:div>
    <w:div w:id="308749014">
      <w:bodyDiv w:val="1"/>
      <w:marLeft w:val="0"/>
      <w:marRight w:val="0"/>
      <w:marTop w:val="0"/>
      <w:marBottom w:val="0"/>
      <w:divBdr>
        <w:top w:val="none" w:sz="0" w:space="0" w:color="auto"/>
        <w:left w:val="none" w:sz="0" w:space="0" w:color="auto"/>
        <w:bottom w:val="none" w:sz="0" w:space="0" w:color="auto"/>
        <w:right w:val="none" w:sz="0" w:space="0" w:color="auto"/>
      </w:divBdr>
    </w:div>
    <w:div w:id="420489100">
      <w:bodyDiv w:val="1"/>
      <w:marLeft w:val="0"/>
      <w:marRight w:val="0"/>
      <w:marTop w:val="0"/>
      <w:marBottom w:val="0"/>
      <w:divBdr>
        <w:top w:val="none" w:sz="0" w:space="0" w:color="auto"/>
        <w:left w:val="none" w:sz="0" w:space="0" w:color="auto"/>
        <w:bottom w:val="none" w:sz="0" w:space="0" w:color="auto"/>
        <w:right w:val="none" w:sz="0" w:space="0" w:color="auto"/>
      </w:divBdr>
    </w:div>
    <w:div w:id="444346955">
      <w:bodyDiv w:val="1"/>
      <w:marLeft w:val="0"/>
      <w:marRight w:val="0"/>
      <w:marTop w:val="0"/>
      <w:marBottom w:val="0"/>
      <w:divBdr>
        <w:top w:val="none" w:sz="0" w:space="0" w:color="auto"/>
        <w:left w:val="none" w:sz="0" w:space="0" w:color="auto"/>
        <w:bottom w:val="none" w:sz="0" w:space="0" w:color="auto"/>
        <w:right w:val="none" w:sz="0" w:space="0" w:color="auto"/>
      </w:divBdr>
      <w:divsChild>
        <w:div w:id="1531533356">
          <w:marLeft w:val="0"/>
          <w:marRight w:val="0"/>
          <w:marTop w:val="168"/>
          <w:marBottom w:val="0"/>
          <w:divBdr>
            <w:top w:val="none" w:sz="0" w:space="0" w:color="auto"/>
            <w:left w:val="none" w:sz="0" w:space="0" w:color="auto"/>
            <w:bottom w:val="none" w:sz="0" w:space="0" w:color="auto"/>
            <w:right w:val="none" w:sz="0" w:space="0" w:color="auto"/>
          </w:divBdr>
        </w:div>
      </w:divsChild>
    </w:div>
    <w:div w:id="650526350">
      <w:bodyDiv w:val="1"/>
      <w:marLeft w:val="0"/>
      <w:marRight w:val="0"/>
      <w:marTop w:val="0"/>
      <w:marBottom w:val="0"/>
      <w:divBdr>
        <w:top w:val="none" w:sz="0" w:space="0" w:color="auto"/>
        <w:left w:val="none" w:sz="0" w:space="0" w:color="auto"/>
        <w:bottom w:val="none" w:sz="0" w:space="0" w:color="auto"/>
        <w:right w:val="none" w:sz="0" w:space="0" w:color="auto"/>
      </w:divBdr>
    </w:div>
    <w:div w:id="667908283">
      <w:bodyDiv w:val="1"/>
      <w:marLeft w:val="0"/>
      <w:marRight w:val="0"/>
      <w:marTop w:val="0"/>
      <w:marBottom w:val="0"/>
      <w:divBdr>
        <w:top w:val="none" w:sz="0" w:space="0" w:color="auto"/>
        <w:left w:val="none" w:sz="0" w:space="0" w:color="auto"/>
        <w:bottom w:val="none" w:sz="0" w:space="0" w:color="auto"/>
        <w:right w:val="none" w:sz="0" w:space="0" w:color="auto"/>
      </w:divBdr>
      <w:divsChild>
        <w:div w:id="139930515">
          <w:marLeft w:val="0"/>
          <w:marRight w:val="0"/>
          <w:marTop w:val="0"/>
          <w:marBottom w:val="0"/>
          <w:divBdr>
            <w:top w:val="none" w:sz="0" w:space="0" w:color="auto"/>
            <w:left w:val="none" w:sz="0" w:space="0" w:color="auto"/>
            <w:bottom w:val="none" w:sz="0" w:space="0" w:color="auto"/>
            <w:right w:val="none" w:sz="0" w:space="0" w:color="auto"/>
          </w:divBdr>
        </w:div>
        <w:div w:id="340395186">
          <w:marLeft w:val="0"/>
          <w:marRight w:val="0"/>
          <w:marTop w:val="0"/>
          <w:marBottom w:val="0"/>
          <w:divBdr>
            <w:top w:val="none" w:sz="0" w:space="0" w:color="auto"/>
            <w:left w:val="none" w:sz="0" w:space="0" w:color="auto"/>
            <w:bottom w:val="none" w:sz="0" w:space="0" w:color="auto"/>
            <w:right w:val="none" w:sz="0" w:space="0" w:color="auto"/>
          </w:divBdr>
        </w:div>
        <w:div w:id="357892879">
          <w:marLeft w:val="0"/>
          <w:marRight w:val="0"/>
          <w:marTop w:val="0"/>
          <w:marBottom w:val="0"/>
          <w:divBdr>
            <w:top w:val="none" w:sz="0" w:space="0" w:color="auto"/>
            <w:left w:val="none" w:sz="0" w:space="0" w:color="auto"/>
            <w:bottom w:val="none" w:sz="0" w:space="0" w:color="auto"/>
            <w:right w:val="none" w:sz="0" w:space="0" w:color="auto"/>
          </w:divBdr>
        </w:div>
        <w:div w:id="529270519">
          <w:marLeft w:val="0"/>
          <w:marRight w:val="0"/>
          <w:marTop w:val="0"/>
          <w:marBottom w:val="0"/>
          <w:divBdr>
            <w:top w:val="none" w:sz="0" w:space="0" w:color="auto"/>
            <w:left w:val="none" w:sz="0" w:space="0" w:color="auto"/>
            <w:bottom w:val="none" w:sz="0" w:space="0" w:color="auto"/>
            <w:right w:val="none" w:sz="0" w:space="0" w:color="auto"/>
          </w:divBdr>
        </w:div>
        <w:div w:id="577784508">
          <w:marLeft w:val="0"/>
          <w:marRight w:val="0"/>
          <w:marTop w:val="0"/>
          <w:marBottom w:val="0"/>
          <w:divBdr>
            <w:top w:val="none" w:sz="0" w:space="0" w:color="auto"/>
            <w:left w:val="none" w:sz="0" w:space="0" w:color="auto"/>
            <w:bottom w:val="none" w:sz="0" w:space="0" w:color="auto"/>
            <w:right w:val="none" w:sz="0" w:space="0" w:color="auto"/>
          </w:divBdr>
        </w:div>
        <w:div w:id="648289280">
          <w:marLeft w:val="0"/>
          <w:marRight w:val="0"/>
          <w:marTop w:val="0"/>
          <w:marBottom w:val="0"/>
          <w:divBdr>
            <w:top w:val="none" w:sz="0" w:space="0" w:color="auto"/>
            <w:left w:val="none" w:sz="0" w:space="0" w:color="auto"/>
            <w:bottom w:val="none" w:sz="0" w:space="0" w:color="auto"/>
            <w:right w:val="none" w:sz="0" w:space="0" w:color="auto"/>
          </w:divBdr>
        </w:div>
        <w:div w:id="726535330">
          <w:marLeft w:val="0"/>
          <w:marRight w:val="0"/>
          <w:marTop w:val="0"/>
          <w:marBottom w:val="0"/>
          <w:divBdr>
            <w:top w:val="none" w:sz="0" w:space="0" w:color="auto"/>
            <w:left w:val="none" w:sz="0" w:space="0" w:color="auto"/>
            <w:bottom w:val="none" w:sz="0" w:space="0" w:color="auto"/>
            <w:right w:val="none" w:sz="0" w:space="0" w:color="auto"/>
          </w:divBdr>
        </w:div>
        <w:div w:id="818422049">
          <w:marLeft w:val="0"/>
          <w:marRight w:val="0"/>
          <w:marTop w:val="0"/>
          <w:marBottom w:val="0"/>
          <w:divBdr>
            <w:top w:val="none" w:sz="0" w:space="0" w:color="auto"/>
            <w:left w:val="none" w:sz="0" w:space="0" w:color="auto"/>
            <w:bottom w:val="none" w:sz="0" w:space="0" w:color="auto"/>
            <w:right w:val="none" w:sz="0" w:space="0" w:color="auto"/>
          </w:divBdr>
        </w:div>
        <w:div w:id="1001084611">
          <w:marLeft w:val="0"/>
          <w:marRight w:val="0"/>
          <w:marTop w:val="0"/>
          <w:marBottom w:val="0"/>
          <w:divBdr>
            <w:top w:val="none" w:sz="0" w:space="0" w:color="auto"/>
            <w:left w:val="none" w:sz="0" w:space="0" w:color="auto"/>
            <w:bottom w:val="none" w:sz="0" w:space="0" w:color="auto"/>
            <w:right w:val="none" w:sz="0" w:space="0" w:color="auto"/>
          </w:divBdr>
        </w:div>
        <w:div w:id="1037125850">
          <w:marLeft w:val="0"/>
          <w:marRight w:val="0"/>
          <w:marTop w:val="0"/>
          <w:marBottom w:val="0"/>
          <w:divBdr>
            <w:top w:val="none" w:sz="0" w:space="0" w:color="auto"/>
            <w:left w:val="none" w:sz="0" w:space="0" w:color="auto"/>
            <w:bottom w:val="none" w:sz="0" w:space="0" w:color="auto"/>
            <w:right w:val="none" w:sz="0" w:space="0" w:color="auto"/>
          </w:divBdr>
        </w:div>
        <w:div w:id="1037200687">
          <w:marLeft w:val="0"/>
          <w:marRight w:val="0"/>
          <w:marTop w:val="0"/>
          <w:marBottom w:val="0"/>
          <w:divBdr>
            <w:top w:val="none" w:sz="0" w:space="0" w:color="auto"/>
            <w:left w:val="none" w:sz="0" w:space="0" w:color="auto"/>
            <w:bottom w:val="none" w:sz="0" w:space="0" w:color="auto"/>
            <w:right w:val="none" w:sz="0" w:space="0" w:color="auto"/>
          </w:divBdr>
        </w:div>
        <w:div w:id="1060639205">
          <w:marLeft w:val="0"/>
          <w:marRight w:val="0"/>
          <w:marTop w:val="0"/>
          <w:marBottom w:val="0"/>
          <w:divBdr>
            <w:top w:val="none" w:sz="0" w:space="0" w:color="auto"/>
            <w:left w:val="none" w:sz="0" w:space="0" w:color="auto"/>
            <w:bottom w:val="none" w:sz="0" w:space="0" w:color="auto"/>
            <w:right w:val="none" w:sz="0" w:space="0" w:color="auto"/>
          </w:divBdr>
        </w:div>
        <w:div w:id="1124349784">
          <w:marLeft w:val="0"/>
          <w:marRight w:val="0"/>
          <w:marTop w:val="0"/>
          <w:marBottom w:val="0"/>
          <w:divBdr>
            <w:top w:val="none" w:sz="0" w:space="0" w:color="auto"/>
            <w:left w:val="none" w:sz="0" w:space="0" w:color="auto"/>
            <w:bottom w:val="none" w:sz="0" w:space="0" w:color="auto"/>
            <w:right w:val="none" w:sz="0" w:space="0" w:color="auto"/>
          </w:divBdr>
        </w:div>
        <w:div w:id="1135103739">
          <w:marLeft w:val="0"/>
          <w:marRight w:val="0"/>
          <w:marTop w:val="0"/>
          <w:marBottom w:val="0"/>
          <w:divBdr>
            <w:top w:val="none" w:sz="0" w:space="0" w:color="auto"/>
            <w:left w:val="none" w:sz="0" w:space="0" w:color="auto"/>
            <w:bottom w:val="none" w:sz="0" w:space="0" w:color="auto"/>
            <w:right w:val="none" w:sz="0" w:space="0" w:color="auto"/>
          </w:divBdr>
        </w:div>
        <w:div w:id="1436752041">
          <w:marLeft w:val="0"/>
          <w:marRight w:val="0"/>
          <w:marTop w:val="0"/>
          <w:marBottom w:val="0"/>
          <w:divBdr>
            <w:top w:val="none" w:sz="0" w:space="0" w:color="auto"/>
            <w:left w:val="none" w:sz="0" w:space="0" w:color="auto"/>
            <w:bottom w:val="none" w:sz="0" w:space="0" w:color="auto"/>
            <w:right w:val="none" w:sz="0" w:space="0" w:color="auto"/>
          </w:divBdr>
        </w:div>
        <w:div w:id="1629504487">
          <w:marLeft w:val="0"/>
          <w:marRight w:val="0"/>
          <w:marTop w:val="0"/>
          <w:marBottom w:val="0"/>
          <w:divBdr>
            <w:top w:val="none" w:sz="0" w:space="0" w:color="auto"/>
            <w:left w:val="none" w:sz="0" w:space="0" w:color="auto"/>
            <w:bottom w:val="none" w:sz="0" w:space="0" w:color="auto"/>
            <w:right w:val="none" w:sz="0" w:space="0" w:color="auto"/>
          </w:divBdr>
        </w:div>
        <w:div w:id="2092501060">
          <w:marLeft w:val="0"/>
          <w:marRight w:val="0"/>
          <w:marTop w:val="0"/>
          <w:marBottom w:val="0"/>
          <w:divBdr>
            <w:top w:val="none" w:sz="0" w:space="0" w:color="auto"/>
            <w:left w:val="none" w:sz="0" w:space="0" w:color="auto"/>
            <w:bottom w:val="none" w:sz="0" w:space="0" w:color="auto"/>
            <w:right w:val="none" w:sz="0" w:space="0" w:color="auto"/>
          </w:divBdr>
        </w:div>
        <w:div w:id="2135710754">
          <w:marLeft w:val="0"/>
          <w:marRight w:val="0"/>
          <w:marTop w:val="0"/>
          <w:marBottom w:val="0"/>
          <w:divBdr>
            <w:top w:val="none" w:sz="0" w:space="0" w:color="auto"/>
            <w:left w:val="none" w:sz="0" w:space="0" w:color="auto"/>
            <w:bottom w:val="none" w:sz="0" w:space="0" w:color="auto"/>
            <w:right w:val="none" w:sz="0" w:space="0" w:color="auto"/>
          </w:divBdr>
        </w:div>
      </w:divsChild>
    </w:div>
    <w:div w:id="717822767">
      <w:bodyDiv w:val="1"/>
      <w:marLeft w:val="0"/>
      <w:marRight w:val="0"/>
      <w:marTop w:val="0"/>
      <w:marBottom w:val="0"/>
      <w:divBdr>
        <w:top w:val="none" w:sz="0" w:space="0" w:color="auto"/>
        <w:left w:val="none" w:sz="0" w:space="0" w:color="auto"/>
        <w:bottom w:val="none" w:sz="0" w:space="0" w:color="auto"/>
        <w:right w:val="none" w:sz="0" w:space="0" w:color="auto"/>
      </w:divBdr>
    </w:div>
    <w:div w:id="1008600171">
      <w:bodyDiv w:val="1"/>
      <w:marLeft w:val="0"/>
      <w:marRight w:val="0"/>
      <w:marTop w:val="0"/>
      <w:marBottom w:val="0"/>
      <w:divBdr>
        <w:top w:val="none" w:sz="0" w:space="0" w:color="auto"/>
        <w:left w:val="none" w:sz="0" w:space="0" w:color="auto"/>
        <w:bottom w:val="none" w:sz="0" w:space="0" w:color="auto"/>
        <w:right w:val="none" w:sz="0" w:space="0" w:color="auto"/>
      </w:divBdr>
      <w:divsChild>
        <w:div w:id="709763036">
          <w:marLeft w:val="0"/>
          <w:marRight w:val="0"/>
          <w:marTop w:val="0"/>
          <w:marBottom w:val="0"/>
          <w:divBdr>
            <w:top w:val="none" w:sz="0" w:space="0" w:color="auto"/>
            <w:left w:val="none" w:sz="0" w:space="0" w:color="auto"/>
            <w:bottom w:val="none" w:sz="0" w:space="0" w:color="auto"/>
            <w:right w:val="none" w:sz="0" w:space="0" w:color="auto"/>
          </w:divBdr>
          <w:divsChild>
            <w:div w:id="10571472">
              <w:marLeft w:val="0"/>
              <w:marRight w:val="0"/>
              <w:marTop w:val="0"/>
              <w:marBottom w:val="0"/>
              <w:divBdr>
                <w:top w:val="none" w:sz="0" w:space="0" w:color="auto"/>
                <w:left w:val="none" w:sz="0" w:space="0" w:color="auto"/>
                <w:bottom w:val="none" w:sz="0" w:space="0" w:color="auto"/>
                <w:right w:val="none" w:sz="0" w:space="0" w:color="auto"/>
              </w:divBdr>
            </w:div>
            <w:div w:id="830104746">
              <w:marLeft w:val="0"/>
              <w:marRight w:val="0"/>
              <w:marTop w:val="0"/>
              <w:marBottom w:val="0"/>
              <w:divBdr>
                <w:top w:val="none" w:sz="0" w:space="0" w:color="auto"/>
                <w:left w:val="none" w:sz="0" w:space="0" w:color="auto"/>
                <w:bottom w:val="none" w:sz="0" w:space="0" w:color="auto"/>
                <w:right w:val="none" w:sz="0" w:space="0" w:color="auto"/>
              </w:divBdr>
            </w:div>
            <w:div w:id="1079518381">
              <w:marLeft w:val="0"/>
              <w:marRight w:val="0"/>
              <w:marTop w:val="0"/>
              <w:marBottom w:val="0"/>
              <w:divBdr>
                <w:top w:val="none" w:sz="0" w:space="0" w:color="auto"/>
                <w:left w:val="none" w:sz="0" w:space="0" w:color="auto"/>
                <w:bottom w:val="none" w:sz="0" w:space="0" w:color="auto"/>
                <w:right w:val="none" w:sz="0" w:space="0" w:color="auto"/>
              </w:divBdr>
            </w:div>
            <w:div w:id="1244487087">
              <w:marLeft w:val="0"/>
              <w:marRight w:val="0"/>
              <w:marTop w:val="0"/>
              <w:marBottom w:val="0"/>
              <w:divBdr>
                <w:top w:val="none" w:sz="0" w:space="0" w:color="auto"/>
                <w:left w:val="none" w:sz="0" w:space="0" w:color="auto"/>
                <w:bottom w:val="none" w:sz="0" w:space="0" w:color="auto"/>
                <w:right w:val="none" w:sz="0" w:space="0" w:color="auto"/>
              </w:divBdr>
            </w:div>
            <w:div w:id="1438594431">
              <w:marLeft w:val="0"/>
              <w:marRight w:val="0"/>
              <w:marTop w:val="0"/>
              <w:marBottom w:val="0"/>
              <w:divBdr>
                <w:top w:val="none" w:sz="0" w:space="0" w:color="auto"/>
                <w:left w:val="none" w:sz="0" w:space="0" w:color="auto"/>
                <w:bottom w:val="none" w:sz="0" w:space="0" w:color="auto"/>
                <w:right w:val="none" w:sz="0" w:space="0" w:color="auto"/>
              </w:divBdr>
            </w:div>
            <w:div w:id="1451390039">
              <w:marLeft w:val="0"/>
              <w:marRight w:val="0"/>
              <w:marTop w:val="0"/>
              <w:marBottom w:val="0"/>
              <w:divBdr>
                <w:top w:val="none" w:sz="0" w:space="0" w:color="auto"/>
                <w:left w:val="none" w:sz="0" w:space="0" w:color="auto"/>
                <w:bottom w:val="none" w:sz="0" w:space="0" w:color="auto"/>
                <w:right w:val="none" w:sz="0" w:space="0" w:color="auto"/>
              </w:divBdr>
            </w:div>
            <w:div w:id="1557426049">
              <w:marLeft w:val="0"/>
              <w:marRight w:val="0"/>
              <w:marTop w:val="0"/>
              <w:marBottom w:val="0"/>
              <w:divBdr>
                <w:top w:val="none" w:sz="0" w:space="0" w:color="auto"/>
                <w:left w:val="none" w:sz="0" w:space="0" w:color="auto"/>
                <w:bottom w:val="none" w:sz="0" w:space="0" w:color="auto"/>
                <w:right w:val="none" w:sz="0" w:space="0" w:color="auto"/>
              </w:divBdr>
            </w:div>
            <w:div w:id="1847750739">
              <w:marLeft w:val="0"/>
              <w:marRight w:val="0"/>
              <w:marTop w:val="0"/>
              <w:marBottom w:val="0"/>
              <w:divBdr>
                <w:top w:val="none" w:sz="0" w:space="0" w:color="auto"/>
                <w:left w:val="none" w:sz="0" w:space="0" w:color="auto"/>
                <w:bottom w:val="none" w:sz="0" w:space="0" w:color="auto"/>
                <w:right w:val="none" w:sz="0" w:space="0" w:color="auto"/>
              </w:divBdr>
            </w:div>
            <w:div w:id="192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309">
      <w:bodyDiv w:val="1"/>
      <w:marLeft w:val="0"/>
      <w:marRight w:val="0"/>
      <w:marTop w:val="0"/>
      <w:marBottom w:val="0"/>
      <w:divBdr>
        <w:top w:val="none" w:sz="0" w:space="0" w:color="auto"/>
        <w:left w:val="none" w:sz="0" w:space="0" w:color="auto"/>
        <w:bottom w:val="none" w:sz="0" w:space="0" w:color="auto"/>
        <w:right w:val="none" w:sz="0" w:space="0" w:color="auto"/>
      </w:divBdr>
    </w:div>
    <w:div w:id="1651472736">
      <w:bodyDiv w:val="1"/>
      <w:marLeft w:val="0"/>
      <w:marRight w:val="0"/>
      <w:marTop w:val="0"/>
      <w:marBottom w:val="0"/>
      <w:divBdr>
        <w:top w:val="none" w:sz="0" w:space="0" w:color="auto"/>
        <w:left w:val="none" w:sz="0" w:space="0" w:color="auto"/>
        <w:bottom w:val="none" w:sz="0" w:space="0" w:color="auto"/>
        <w:right w:val="none" w:sz="0" w:space="0" w:color="auto"/>
      </w:divBdr>
    </w:div>
    <w:div w:id="1670987523">
      <w:bodyDiv w:val="1"/>
      <w:marLeft w:val="0"/>
      <w:marRight w:val="0"/>
      <w:marTop w:val="0"/>
      <w:marBottom w:val="0"/>
      <w:divBdr>
        <w:top w:val="none" w:sz="0" w:space="0" w:color="auto"/>
        <w:left w:val="none" w:sz="0" w:space="0" w:color="auto"/>
        <w:bottom w:val="none" w:sz="0" w:space="0" w:color="auto"/>
        <w:right w:val="none" w:sz="0" w:space="0" w:color="auto"/>
      </w:divBdr>
    </w:div>
    <w:div w:id="1709060695">
      <w:bodyDiv w:val="1"/>
      <w:marLeft w:val="0"/>
      <w:marRight w:val="0"/>
      <w:marTop w:val="0"/>
      <w:marBottom w:val="0"/>
      <w:divBdr>
        <w:top w:val="none" w:sz="0" w:space="0" w:color="auto"/>
        <w:left w:val="none" w:sz="0" w:space="0" w:color="auto"/>
        <w:bottom w:val="none" w:sz="0" w:space="0" w:color="auto"/>
        <w:right w:val="none" w:sz="0" w:space="0" w:color="auto"/>
      </w:divBdr>
    </w:div>
    <w:div w:id="1770853755">
      <w:bodyDiv w:val="1"/>
      <w:marLeft w:val="0"/>
      <w:marRight w:val="0"/>
      <w:marTop w:val="0"/>
      <w:marBottom w:val="0"/>
      <w:divBdr>
        <w:top w:val="none" w:sz="0" w:space="0" w:color="auto"/>
        <w:left w:val="none" w:sz="0" w:space="0" w:color="auto"/>
        <w:bottom w:val="none" w:sz="0" w:space="0" w:color="auto"/>
        <w:right w:val="none" w:sz="0" w:space="0" w:color="auto"/>
      </w:divBdr>
      <w:divsChild>
        <w:div w:id="552162473">
          <w:marLeft w:val="0"/>
          <w:marRight w:val="0"/>
          <w:marTop w:val="0"/>
          <w:marBottom w:val="0"/>
          <w:divBdr>
            <w:top w:val="none" w:sz="0" w:space="0" w:color="auto"/>
            <w:left w:val="none" w:sz="0" w:space="0" w:color="auto"/>
            <w:bottom w:val="none" w:sz="0" w:space="0" w:color="auto"/>
            <w:right w:val="none" w:sz="0" w:space="0" w:color="auto"/>
          </w:divBdr>
        </w:div>
        <w:div w:id="774983180">
          <w:marLeft w:val="0"/>
          <w:marRight w:val="0"/>
          <w:marTop w:val="0"/>
          <w:marBottom w:val="0"/>
          <w:divBdr>
            <w:top w:val="none" w:sz="0" w:space="0" w:color="auto"/>
            <w:left w:val="none" w:sz="0" w:space="0" w:color="auto"/>
            <w:bottom w:val="none" w:sz="0" w:space="0" w:color="auto"/>
            <w:right w:val="none" w:sz="0" w:space="0" w:color="auto"/>
          </w:divBdr>
        </w:div>
        <w:div w:id="980379576">
          <w:marLeft w:val="0"/>
          <w:marRight w:val="0"/>
          <w:marTop w:val="0"/>
          <w:marBottom w:val="0"/>
          <w:divBdr>
            <w:top w:val="none" w:sz="0" w:space="0" w:color="auto"/>
            <w:left w:val="none" w:sz="0" w:space="0" w:color="auto"/>
            <w:bottom w:val="none" w:sz="0" w:space="0" w:color="auto"/>
            <w:right w:val="none" w:sz="0" w:space="0" w:color="auto"/>
          </w:divBdr>
        </w:div>
        <w:div w:id="994185310">
          <w:marLeft w:val="0"/>
          <w:marRight w:val="0"/>
          <w:marTop w:val="0"/>
          <w:marBottom w:val="0"/>
          <w:divBdr>
            <w:top w:val="none" w:sz="0" w:space="0" w:color="auto"/>
            <w:left w:val="none" w:sz="0" w:space="0" w:color="auto"/>
            <w:bottom w:val="none" w:sz="0" w:space="0" w:color="auto"/>
            <w:right w:val="none" w:sz="0" w:space="0" w:color="auto"/>
          </w:divBdr>
        </w:div>
        <w:div w:id="1029143359">
          <w:marLeft w:val="0"/>
          <w:marRight w:val="0"/>
          <w:marTop w:val="0"/>
          <w:marBottom w:val="0"/>
          <w:divBdr>
            <w:top w:val="none" w:sz="0" w:space="0" w:color="auto"/>
            <w:left w:val="none" w:sz="0" w:space="0" w:color="auto"/>
            <w:bottom w:val="none" w:sz="0" w:space="0" w:color="auto"/>
            <w:right w:val="none" w:sz="0" w:space="0" w:color="auto"/>
          </w:divBdr>
        </w:div>
        <w:div w:id="1128088005">
          <w:marLeft w:val="0"/>
          <w:marRight w:val="0"/>
          <w:marTop w:val="0"/>
          <w:marBottom w:val="0"/>
          <w:divBdr>
            <w:top w:val="none" w:sz="0" w:space="0" w:color="auto"/>
            <w:left w:val="none" w:sz="0" w:space="0" w:color="auto"/>
            <w:bottom w:val="none" w:sz="0" w:space="0" w:color="auto"/>
            <w:right w:val="none" w:sz="0" w:space="0" w:color="auto"/>
          </w:divBdr>
        </w:div>
        <w:div w:id="1276712294">
          <w:marLeft w:val="0"/>
          <w:marRight w:val="0"/>
          <w:marTop w:val="0"/>
          <w:marBottom w:val="0"/>
          <w:divBdr>
            <w:top w:val="none" w:sz="0" w:space="0" w:color="auto"/>
            <w:left w:val="none" w:sz="0" w:space="0" w:color="auto"/>
            <w:bottom w:val="none" w:sz="0" w:space="0" w:color="auto"/>
            <w:right w:val="none" w:sz="0" w:space="0" w:color="auto"/>
          </w:divBdr>
        </w:div>
        <w:div w:id="1320302384">
          <w:marLeft w:val="0"/>
          <w:marRight w:val="0"/>
          <w:marTop w:val="0"/>
          <w:marBottom w:val="0"/>
          <w:divBdr>
            <w:top w:val="none" w:sz="0" w:space="0" w:color="auto"/>
            <w:left w:val="none" w:sz="0" w:space="0" w:color="auto"/>
            <w:bottom w:val="none" w:sz="0" w:space="0" w:color="auto"/>
            <w:right w:val="none" w:sz="0" w:space="0" w:color="auto"/>
          </w:divBdr>
        </w:div>
        <w:div w:id="1474373159">
          <w:marLeft w:val="0"/>
          <w:marRight w:val="0"/>
          <w:marTop w:val="0"/>
          <w:marBottom w:val="0"/>
          <w:divBdr>
            <w:top w:val="none" w:sz="0" w:space="0" w:color="auto"/>
            <w:left w:val="none" w:sz="0" w:space="0" w:color="auto"/>
            <w:bottom w:val="none" w:sz="0" w:space="0" w:color="auto"/>
            <w:right w:val="none" w:sz="0" w:space="0" w:color="auto"/>
          </w:divBdr>
        </w:div>
        <w:div w:id="2085685721">
          <w:marLeft w:val="0"/>
          <w:marRight w:val="0"/>
          <w:marTop w:val="0"/>
          <w:marBottom w:val="0"/>
          <w:divBdr>
            <w:top w:val="none" w:sz="0" w:space="0" w:color="auto"/>
            <w:left w:val="none" w:sz="0" w:space="0" w:color="auto"/>
            <w:bottom w:val="none" w:sz="0" w:space="0" w:color="auto"/>
            <w:right w:val="none" w:sz="0" w:space="0" w:color="auto"/>
          </w:divBdr>
        </w:div>
        <w:div w:id="2131515019">
          <w:marLeft w:val="0"/>
          <w:marRight w:val="0"/>
          <w:marTop w:val="0"/>
          <w:marBottom w:val="0"/>
          <w:divBdr>
            <w:top w:val="none" w:sz="0" w:space="0" w:color="auto"/>
            <w:left w:val="none" w:sz="0" w:space="0" w:color="auto"/>
            <w:bottom w:val="none" w:sz="0" w:space="0" w:color="auto"/>
            <w:right w:val="none" w:sz="0" w:space="0" w:color="auto"/>
          </w:divBdr>
        </w:div>
      </w:divsChild>
    </w:div>
    <w:div w:id="1786580774">
      <w:bodyDiv w:val="1"/>
      <w:marLeft w:val="0"/>
      <w:marRight w:val="0"/>
      <w:marTop w:val="0"/>
      <w:marBottom w:val="0"/>
      <w:divBdr>
        <w:top w:val="none" w:sz="0" w:space="0" w:color="auto"/>
        <w:left w:val="none" w:sz="0" w:space="0" w:color="auto"/>
        <w:bottom w:val="none" w:sz="0" w:space="0" w:color="auto"/>
        <w:right w:val="none" w:sz="0" w:space="0" w:color="auto"/>
      </w:divBdr>
    </w:div>
    <w:div w:id="1842117108">
      <w:bodyDiv w:val="1"/>
      <w:marLeft w:val="0"/>
      <w:marRight w:val="0"/>
      <w:marTop w:val="0"/>
      <w:marBottom w:val="0"/>
      <w:divBdr>
        <w:top w:val="none" w:sz="0" w:space="0" w:color="auto"/>
        <w:left w:val="none" w:sz="0" w:space="0" w:color="auto"/>
        <w:bottom w:val="none" w:sz="0" w:space="0" w:color="auto"/>
        <w:right w:val="none" w:sz="0" w:space="0" w:color="auto"/>
      </w:divBdr>
      <w:divsChild>
        <w:div w:id="708335561">
          <w:marLeft w:val="0"/>
          <w:marRight w:val="0"/>
          <w:marTop w:val="0"/>
          <w:marBottom w:val="0"/>
          <w:divBdr>
            <w:top w:val="none" w:sz="0" w:space="0" w:color="auto"/>
            <w:left w:val="none" w:sz="0" w:space="0" w:color="auto"/>
            <w:bottom w:val="none" w:sz="0" w:space="0" w:color="auto"/>
            <w:right w:val="none" w:sz="0" w:space="0" w:color="auto"/>
          </w:divBdr>
        </w:div>
        <w:div w:id="1065496759">
          <w:marLeft w:val="0"/>
          <w:marRight w:val="0"/>
          <w:marTop w:val="0"/>
          <w:marBottom w:val="0"/>
          <w:divBdr>
            <w:top w:val="none" w:sz="0" w:space="0" w:color="auto"/>
            <w:left w:val="none" w:sz="0" w:space="0" w:color="auto"/>
            <w:bottom w:val="none" w:sz="0" w:space="0" w:color="auto"/>
            <w:right w:val="none" w:sz="0" w:space="0" w:color="auto"/>
          </w:divBdr>
        </w:div>
        <w:div w:id="1123495825">
          <w:marLeft w:val="0"/>
          <w:marRight w:val="0"/>
          <w:marTop w:val="0"/>
          <w:marBottom w:val="0"/>
          <w:divBdr>
            <w:top w:val="none" w:sz="0" w:space="0" w:color="auto"/>
            <w:left w:val="none" w:sz="0" w:space="0" w:color="auto"/>
            <w:bottom w:val="none" w:sz="0" w:space="0" w:color="auto"/>
            <w:right w:val="none" w:sz="0" w:space="0" w:color="auto"/>
          </w:divBdr>
        </w:div>
        <w:div w:id="1310674424">
          <w:marLeft w:val="0"/>
          <w:marRight w:val="0"/>
          <w:marTop w:val="0"/>
          <w:marBottom w:val="0"/>
          <w:divBdr>
            <w:top w:val="none" w:sz="0" w:space="0" w:color="auto"/>
            <w:left w:val="none" w:sz="0" w:space="0" w:color="auto"/>
            <w:bottom w:val="none" w:sz="0" w:space="0" w:color="auto"/>
            <w:right w:val="none" w:sz="0" w:space="0" w:color="auto"/>
          </w:divBdr>
        </w:div>
        <w:div w:id="1372071297">
          <w:marLeft w:val="0"/>
          <w:marRight w:val="0"/>
          <w:marTop w:val="0"/>
          <w:marBottom w:val="0"/>
          <w:divBdr>
            <w:top w:val="none" w:sz="0" w:space="0" w:color="auto"/>
            <w:left w:val="none" w:sz="0" w:space="0" w:color="auto"/>
            <w:bottom w:val="none" w:sz="0" w:space="0" w:color="auto"/>
            <w:right w:val="none" w:sz="0" w:space="0" w:color="auto"/>
          </w:divBdr>
        </w:div>
        <w:div w:id="1401094523">
          <w:marLeft w:val="0"/>
          <w:marRight w:val="0"/>
          <w:marTop w:val="0"/>
          <w:marBottom w:val="0"/>
          <w:divBdr>
            <w:top w:val="none" w:sz="0" w:space="0" w:color="auto"/>
            <w:left w:val="none" w:sz="0" w:space="0" w:color="auto"/>
            <w:bottom w:val="none" w:sz="0" w:space="0" w:color="auto"/>
            <w:right w:val="none" w:sz="0" w:space="0" w:color="auto"/>
          </w:divBdr>
        </w:div>
        <w:div w:id="1596204865">
          <w:marLeft w:val="0"/>
          <w:marRight w:val="0"/>
          <w:marTop w:val="0"/>
          <w:marBottom w:val="0"/>
          <w:divBdr>
            <w:top w:val="none" w:sz="0" w:space="0" w:color="auto"/>
            <w:left w:val="none" w:sz="0" w:space="0" w:color="auto"/>
            <w:bottom w:val="none" w:sz="0" w:space="0" w:color="auto"/>
            <w:right w:val="none" w:sz="0" w:space="0" w:color="auto"/>
          </w:divBdr>
        </w:div>
        <w:div w:id="1718509870">
          <w:marLeft w:val="0"/>
          <w:marRight w:val="0"/>
          <w:marTop w:val="0"/>
          <w:marBottom w:val="0"/>
          <w:divBdr>
            <w:top w:val="none" w:sz="0" w:space="0" w:color="auto"/>
            <w:left w:val="none" w:sz="0" w:space="0" w:color="auto"/>
            <w:bottom w:val="none" w:sz="0" w:space="0" w:color="auto"/>
            <w:right w:val="none" w:sz="0" w:space="0" w:color="auto"/>
          </w:divBdr>
        </w:div>
        <w:div w:id="2105570836">
          <w:marLeft w:val="0"/>
          <w:marRight w:val="0"/>
          <w:marTop w:val="0"/>
          <w:marBottom w:val="0"/>
          <w:divBdr>
            <w:top w:val="none" w:sz="0" w:space="0" w:color="auto"/>
            <w:left w:val="none" w:sz="0" w:space="0" w:color="auto"/>
            <w:bottom w:val="none" w:sz="0" w:space="0" w:color="auto"/>
            <w:right w:val="none" w:sz="0" w:space="0" w:color="auto"/>
          </w:divBdr>
        </w:div>
        <w:div w:id="2144230155">
          <w:marLeft w:val="0"/>
          <w:marRight w:val="0"/>
          <w:marTop w:val="0"/>
          <w:marBottom w:val="0"/>
          <w:divBdr>
            <w:top w:val="none" w:sz="0" w:space="0" w:color="auto"/>
            <w:left w:val="none" w:sz="0" w:space="0" w:color="auto"/>
            <w:bottom w:val="none" w:sz="0" w:space="0" w:color="auto"/>
            <w:right w:val="none" w:sz="0" w:space="0" w:color="auto"/>
          </w:divBdr>
        </w:div>
      </w:divsChild>
    </w:div>
    <w:div w:id="1983195832">
      <w:bodyDiv w:val="1"/>
      <w:marLeft w:val="0"/>
      <w:marRight w:val="0"/>
      <w:marTop w:val="0"/>
      <w:marBottom w:val="0"/>
      <w:divBdr>
        <w:top w:val="none" w:sz="0" w:space="0" w:color="auto"/>
        <w:left w:val="none" w:sz="0" w:space="0" w:color="auto"/>
        <w:bottom w:val="none" w:sz="0" w:space="0" w:color="auto"/>
        <w:right w:val="none" w:sz="0" w:space="0" w:color="auto"/>
      </w:divBdr>
      <w:divsChild>
        <w:div w:id="1480536307">
          <w:marLeft w:val="0"/>
          <w:marRight w:val="0"/>
          <w:marTop w:val="0"/>
          <w:marBottom w:val="0"/>
          <w:divBdr>
            <w:top w:val="none" w:sz="0" w:space="0" w:color="auto"/>
            <w:left w:val="none" w:sz="0" w:space="0" w:color="auto"/>
            <w:bottom w:val="none" w:sz="0" w:space="0" w:color="auto"/>
            <w:right w:val="none" w:sz="0" w:space="0" w:color="auto"/>
          </w:divBdr>
          <w:divsChild>
            <w:div w:id="998583695">
              <w:marLeft w:val="0"/>
              <w:marRight w:val="0"/>
              <w:marTop w:val="0"/>
              <w:marBottom w:val="0"/>
              <w:divBdr>
                <w:top w:val="none" w:sz="0" w:space="0" w:color="auto"/>
                <w:left w:val="none" w:sz="0" w:space="0" w:color="auto"/>
                <w:bottom w:val="none" w:sz="0" w:space="0" w:color="auto"/>
                <w:right w:val="none" w:sz="0" w:space="0" w:color="auto"/>
              </w:divBdr>
              <w:divsChild>
                <w:div w:id="668363261">
                  <w:marLeft w:val="0"/>
                  <w:marRight w:val="0"/>
                  <w:marTop w:val="0"/>
                  <w:marBottom w:val="0"/>
                  <w:divBdr>
                    <w:top w:val="none" w:sz="0" w:space="0" w:color="auto"/>
                    <w:left w:val="none" w:sz="0" w:space="0" w:color="auto"/>
                    <w:bottom w:val="none" w:sz="0" w:space="0" w:color="auto"/>
                    <w:right w:val="none" w:sz="0" w:space="0" w:color="auto"/>
                  </w:divBdr>
                  <w:divsChild>
                    <w:div w:id="566770696">
                      <w:marLeft w:val="0"/>
                      <w:marRight w:val="0"/>
                      <w:marTop w:val="0"/>
                      <w:marBottom w:val="0"/>
                      <w:divBdr>
                        <w:top w:val="none" w:sz="0" w:space="0" w:color="auto"/>
                        <w:left w:val="none" w:sz="0" w:space="0" w:color="auto"/>
                        <w:bottom w:val="none" w:sz="0" w:space="0" w:color="auto"/>
                        <w:right w:val="none" w:sz="0" w:space="0" w:color="auto"/>
                      </w:divBdr>
                      <w:divsChild>
                        <w:div w:id="664551950">
                          <w:marLeft w:val="0"/>
                          <w:marRight w:val="0"/>
                          <w:marTop w:val="0"/>
                          <w:marBottom w:val="0"/>
                          <w:divBdr>
                            <w:top w:val="none" w:sz="0" w:space="0" w:color="auto"/>
                            <w:left w:val="none" w:sz="0" w:space="0" w:color="auto"/>
                            <w:bottom w:val="none" w:sz="0" w:space="0" w:color="auto"/>
                            <w:right w:val="none" w:sz="0" w:space="0" w:color="auto"/>
                          </w:divBdr>
                          <w:divsChild>
                            <w:div w:id="121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05637">
      <w:bodyDiv w:val="1"/>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547"/>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pigm.gov.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otas.gov.tr/"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invest.gov.tr/" TargetMode="External"/><Relationship Id="rId25" Type="http://schemas.openxmlformats.org/officeDocument/2006/relationships/hyperlink" Target="http://www.tpjd.org.t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pao.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petform.org.t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epdk.gov.tr/" TargetMode="External"/><Relationship Id="rId28" Type="http://schemas.openxmlformats.org/officeDocument/2006/relationships/theme" Target="theme/theme1.xml"/><Relationship Id="rId10" Type="http://schemas.openxmlformats.org/officeDocument/2006/relationships/image" Target="cid:image001.jpg@01C88468.47DF4960" TargetMode="External"/><Relationship Id="rId19" Type="http://schemas.openxmlformats.org/officeDocument/2006/relationships/hyperlink" Target="http://www.tupras.com.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enerji.gov.t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vest.gov.t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xchsrv\ANKUSERS\nkaymaz\Desktop\turkey-oil_prod_vs_consump.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xchsrv\ANKUSERS\nkaymaz\Desktop\turkey-oil_im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sz="1100"/>
            </a:pPr>
            <a:r>
              <a:rPr lang="tr-TR" sz="1100"/>
              <a:t>Turkey's Oil Production and Consumption 1986-2007</a:t>
            </a:r>
          </a:p>
        </c:rich>
      </c:tx>
      <c:layout>
        <c:manualLayout>
          <c:xMode val="edge"/>
          <c:yMode val="edge"/>
          <c:x val="0.24356838170348344"/>
          <c:y val="3.4749034749034756E-2"/>
        </c:manualLayout>
      </c:layout>
    </c:title>
    <c:plotArea>
      <c:layout>
        <c:manualLayout>
          <c:layoutTarget val="inner"/>
          <c:xMode val="edge"/>
          <c:yMode val="edge"/>
          <c:x val="0.1471267670769735"/>
          <c:y val="0.14285741217990663"/>
          <c:w val="0.78620866156757763"/>
          <c:h val="0.59073470441961362"/>
        </c:manualLayout>
      </c:layout>
      <c:lineChart>
        <c:grouping val="standard"/>
        <c:ser>
          <c:idx val="0"/>
          <c:order val="0"/>
          <c:marker>
            <c:symbol val="none"/>
          </c:marker>
          <c:cat>
            <c:numRef>
              <c:f>Sheet1!$B$3:$W$3</c:f>
              <c:numCache>
                <c:formatCode>General</c:formatCode>
                <c:ptCount val="22"/>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Sheet1!$B$4:$W$4</c:f>
              <c:numCache>
                <c:formatCode>_(* #,##0_);_(* \(#,##0\);_(* "-"??_);_(@_)</c:formatCode>
                <c:ptCount val="22"/>
                <c:pt idx="0">
                  <c:v>46.080898849315062</c:v>
                </c:pt>
                <c:pt idx="1">
                  <c:v>50.647394246575359</c:v>
                </c:pt>
                <c:pt idx="2">
                  <c:v>49.380954191780816</c:v>
                </c:pt>
                <c:pt idx="3">
                  <c:v>55.396303698630135</c:v>
                </c:pt>
                <c:pt idx="4">
                  <c:v>71.581694191780812</c:v>
                </c:pt>
                <c:pt idx="5">
                  <c:v>85.741000164383564</c:v>
                </c:pt>
                <c:pt idx="6">
                  <c:v>82.452308383561615</c:v>
                </c:pt>
                <c:pt idx="7">
                  <c:v>74.961390767123291</c:v>
                </c:pt>
                <c:pt idx="8">
                  <c:v>71.006235726027398</c:v>
                </c:pt>
                <c:pt idx="9">
                  <c:v>67.71492454794523</c:v>
                </c:pt>
                <c:pt idx="10">
                  <c:v>67.403928904109591</c:v>
                </c:pt>
                <c:pt idx="11">
                  <c:v>66.582112273972598</c:v>
                </c:pt>
                <c:pt idx="12">
                  <c:v>62.087842904109586</c:v>
                </c:pt>
                <c:pt idx="13">
                  <c:v>56.62320241095891</c:v>
                </c:pt>
                <c:pt idx="14">
                  <c:v>52.948515479452055</c:v>
                </c:pt>
                <c:pt idx="15">
                  <c:v>49.1419534520548</c:v>
                </c:pt>
                <c:pt idx="16">
                  <c:v>47.024613753424653</c:v>
                </c:pt>
                <c:pt idx="17">
                  <c:v>45.743998136986306</c:v>
                </c:pt>
                <c:pt idx="18">
                  <c:v>43.827331232876723</c:v>
                </c:pt>
                <c:pt idx="19">
                  <c:v>43.935208027397252</c:v>
                </c:pt>
                <c:pt idx="20">
                  <c:v>41.903961753424646</c:v>
                </c:pt>
                <c:pt idx="21">
                  <c:v>41.104795205479455</c:v>
                </c:pt>
              </c:numCache>
            </c:numRef>
          </c:val>
        </c:ser>
        <c:ser>
          <c:idx val="1"/>
          <c:order val="1"/>
          <c:marker>
            <c:symbol val="none"/>
          </c:marker>
          <c:cat>
            <c:numRef>
              <c:f>Sheet1!$B$3:$W$3</c:f>
              <c:numCache>
                <c:formatCode>General</c:formatCode>
                <c:ptCount val="22"/>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Sheet1!$B$5:$W$5</c:f>
              <c:numCache>
                <c:formatCode>_(* #,##0_);_(* \(#,##0\);_(* "-"??_);_(@_)</c:formatCode>
                <c:ptCount val="22"/>
                <c:pt idx="0">
                  <c:v>350.36495353424658</c:v>
                </c:pt>
                <c:pt idx="1">
                  <c:v>392.65529564383576</c:v>
                </c:pt>
                <c:pt idx="2">
                  <c:v>393.60201515068485</c:v>
                </c:pt>
                <c:pt idx="3">
                  <c:v>402.81243224657527</c:v>
                </c:pt>
                <c:pt idx="4">
                  <c:v>418.3741943287672</c:v>
                </c:pt>
                <c:pt idx="5">
                  <c:v>407.56380701369869</c:v>
                </c:pt>
                <c:pt idx="6">
                  <c:v>440.20479038356177</c:v>
                </c:pt>
                <c:pt idx="7">
                  <c:v>502.22435561643834</c:v>
                </c:pt>
                <c:pt idx="8">
                  <c:v>476.84653712328765</c:v>
                </c:pt>
                <c:pt idx="9">
                  <c:v>523.11693780821918</c:v>
                </c:pt>
                <c:pt idx="10">
                  <c:v>544.690101041096</c:v>
                </c:pt>
                <c:pt idx="11">
                  <c:v>544.21444931506858</c:v>
                </c:pt>
                <c:pt idx="12">
                  <c:v>541.705201561644</c:v>
                </c:pt>
                <c:pt idx="13">
                  <c:v>532.76465942465745</c:v>
                </c:pt>
                <c:pt idx="14">
                  <c:v>575.68918457534267</c:v>
                </c:pt>
                <c:pt idx="15">
                  <c:v>551.42364690410966</c:v>
                </c:pt>
                <c:pt idx="16">
                  <c:v>564.98522953424651</c:v>
                </c:pt>
                <c:pt idx="17">
                  <c:v>576.06520290410947</c:v>
                </c:pt>
                <c:pt idx="18">
                  <c:v>589.89704569863011</c:v>
                </c:pt>
                <c:pt idx="19">
                  <c:v>567.91989821917821</c:v>
                </c:pt>
                <c:pt idx="20">
                  <c:v>576.05372378082188</c:v>
                </c:pt>
                <c:pt idx="21">
                  <c:v>595.96998342465758</c:v>
                </c:pt>
              </c:numCache>
            </c:numRef>
          </c:val>
        </c:ser>
        <c:marker val="1"/>
        <c:axId val="123185408"/>
        <c:axId val="123203584"/>
      </c:lineChart>
      <c:catAx>
        <c:axId val="123185408"/>
        <c:scaling>
          <c:orientation val="minMax"/>
        </c:scaling>
        <c:axPos val="b"/>
        <c:numFmt formatCode="General" sourceLinked="1"/>
        <c:tickLblPos val="nextTo"/>
        <c:txPr>
          <a:bodyPr rot="0" vert="horz"/>
          <a:lstStyle/>
          <a:p>
            <a:pPr>
              <a:defRPr/>
            </a:pPr>
            <a:endParaRPr lang="tr-TR"/>
          </a:p>
        </c:txPr>
        <c:crossAx val="123203584"/>
        <c:crosses val="autoZero"/>
        <c:auto val="1"/>
        <c:lblAlgn val="ctr"/>
        <c:lblOffset val="100"/>
        <c:tickLblSkip val="3"/>
        <c:tickMarkSkip val="1"/>
      </c:catAx>
      <c:valAx>
        <c:axId val="123203584"/>
        <c:scaling>
          <c:orientation val="minMax"/>
        </c:scaling>
        <c:axPos val="l"/>
        <c:title>
          <c:tx>
            <c:rich>
              <a:bodyPr/>
              <a:lstStyle/>
              <a:p>
                <a:pPr>
                  <a:defRPr/>
                </a:pPr>
                <a:r>
                  <a:rPr lang="tr-TR"/>
                  <a:t>Thousand Barrels Per Day</a:t>
                </a:r>
              </a:p>
            </c:rich>
          </c:tx>
          <c:layout>
            <c:manualLayout>
              <c:xMode val="edge"/>
              <c:yMode val="edge"/>
              <c:x val="3.4482836033665677E-2"/>
              <c:y val="0.15444044559989928"/>
            </c:manualLayout>
          </c:layout>
        </c:title>
        <c:numFmt formatCode="#,##0" sourceLinked="0"/>
        <c:tickLblPos val="nextTo"/>
        <c:txPr>
          <a:bodyPr rot="0" vert="horz"/>
          <a:lstStyle/>
          <a:p>
            <a:pPr>
              <a:defRPr/>
            </a:pPr>
            <a:endParaRPr lang="tr-TR"/>
          </a:p>
        </c:txPr>
        <c:crossAx val="123185408"/>
        <c:crosses val="autoZero"/>
        <c:crossBetween val="midCat"/>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5"/>
  <c:chart>
    <c:title>
      <c:tx>
        <c:rich>
          <a:bodyPr/>
          <a:lstStyle/>
          <a:p>
            <a:pPr>
              <a:defRPr/>
            </a:pPr>
            <a:r>
              <a:rPr lang="tr-TR" sz="1100"/>
              <a:t>Turkey's  Crude Oil Import 1986-2007</a:t>
            </a:r>
          </a:p>
        </c:rich>
      </c:tx>
      <c:layout>
        <c:manualLayout>
          <c:xMode val="edge"/>
          <c:yMode val="edge"/>
          <c:x val="0.32656409742180853"/>
          <c:y val="2.3972602739726036E-2"/>
        </c:manualLayout>
      </c:layout>
    </c:title>
    <c:plotArea>
      <c:layout>
        <c:manualLayout>
          <c:layoutTarget val="inner"/>
          <c:xMode val="edge"/>
          <c:yMode val="edge"/>
          <c:x val="0.1471267670769735"/>
          <c:y val="0.14285741217990663"/>
          <c:w val="0.78620866156757763"/>
          <c:h val="0.59073470441961351"/>
        </c:manualLayout>
      </c:layout>
      <c:lineChart>
        <c:grouping val="standard"/>
        <c:ser>
          <c:idx val="0"/>
          <c:order val="0"/>
          <c:marker>
            <c:symbol val="none"/>
          </c:marker>
          <c:cat>
            <c:numRef>
              <c:f>Sheet1!$B$3:$W$3</c:f>
              <c:numCache>
                <c:formatCode>General</c:formatCode>
                <c:ptCount val="22"/>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Sheet1!#REF!</c:f>
              <c:numCache>
                <c:formatCode>General</c:formatCode>
                <c:ptCount val="1"/>
                <c:pt idx="0">
                  <c:v>1</c:v>
                </c:pt>
              </c:numCache>
            </c:numRef>
          </c:val>
        </c:ser>
        <c:ser>
          <c:idx val="1"/>
          <c:order val="1"/>
          <c:spPr>
            <a:ln>
              <a:solidFill>
                <a:srgbClr val="00B050"/>
              </a:solidFill>
            </a:ln>
          </c:spPr>
          <c:marker>
            <c:symbol val="none"/>
          </c:marker>
          <c:cat>
            <c:numRef>
              <c:f>Sheet1!$B$3:$W$3</c:f>
              <c:numCache>
                <c:formatCode>General</c:formatCode>
                <c:ptCount val="22"/>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Sheet1!$B$4:$W$4</c:f>
              <c:numCache>
                <c:formatCode>_(* #,##0_);_(* \(#,##0\);_(* "-"??_);_(@_)</c:formatCode>
                <c:ptCount val="22"/>
                <c:pt idx="0">
                  <c:v>324.76527594520536</c:v>
                </c:pt>
                <c:pt idx="1">
                  <c:v>387.17426465753431</c:v>
                </c:pt>
                <c:pt idx="2">
                  <c:v>417.43107649315061</c:v>
                </c:pt>
                <c:pt idx="3">
                  <c:v>358.54271178082195</c:v>
                </c:pt>
                <c:pt idx="4">
                  <c:v>386.39911567123283</c:v>
                </c:pt>
                <c:pt idx="5">
                  <c:v>339.09942668493164</c:v>
                </c:pt>
                <c:pt idx="6">
                  <c:v>372.02459539726027</c:v>
                </c:pt>
                <c:pt idx="7">
                  <c:v>419.2852052876712</c:v>
                </c:pt>
                <c:pt idx="8">
                  <c:v>408.28183002739723</c:v>
                </c:pt>
                <c:pt idx="9">
                  <c:v>452.82400632876715</c:v>
                </c:pt>
                <c:pt idx="10">
                  <c:v>441.36678197260261</c:v>
                </c:pt>
                <c:pt idx="11">
                  <c:v>449.47069632876719</c:v>
                </c:pt>
                <c:pt idx="12">
                  <c:v>457.1506920547946</c:v>
                </c:pt>
                <c:pt idx="13">
                  <c:v>442.6723396438357</c:v>
                </c:pt>
                <c:pt idx="14">
                  <c:v>417.39228630136989</c:v>
                </c:pt>
                <c:pt idx="15">
                  <c:v>447.66414041095896</c:v>
                </c:pt>
                <c:pt idx="16">
                  <c:v>455.73296254794519</c:v>
                </c:pt>
                <c:pt idx="17">
                  <c:v>464.1034005753425</c:v>
                </c:pt>
                <c:pt idx="18">
                  <c:v>458.9733303013698</c:v>
                </c:pt>
                <c:pt idx="19">
                  <c:v>450.49255016438354</c:v>
                </c:pt>
                <c:pt idx="20">
                  <c:v>457.50273134246567</c:v>
                </c:pt>
                <c:pt idx="21">
                  <c:v>451.57164553424661</c:v>
                </c:pt>
              </c:numCache>
            </c:numRef>
          </c:val>
        </c:ser>
        <c:marker val="1"/>
        <c:axId val="102306560"/>
        <c:axId val="102308096"/>
      </c:lineChart>
      <c:catAx>
        <c:axId val="102306560"/>
        <c:scaling>
          <c:orientation val="minMax"/>
        </c:scaling>
        <c:axPos val="b"/>
        <c:numFmt formatCode="General" sourceLinked="1"/>
        <c:tickLblPos val="nextTo"/>
        <c:txPr>
          <a:bodyPr rot="0" vert="horz"/>
          <a:lstStyle/>
          <a:p>
            <a:pPr>
              <a:defRPr/>
            </a:pPr>
            <a:endParaRPr lang="tr-TR"/>
          </a:p>
        </c:txPr>
        <c:crossAx val="102308096"/>
        <c:crosses val="autoZero"/>
        <c:auto val="1"/>
        <c:lblAlgn val="ctr"/>
        <c:lblOffset val="100"/>
        <c:tickLblSkip val="3"/>
        <c:tickMarkSkip val="1"/>
      </c:catAx>
      <c:valAx>
        <c:axId val="102308096"/>
        <c:scaling>
          <c:orientation val="minMax"/>
        </c:scaling>
        <c:axPos val="l"/>
        <c:title>
          <c:tx>
            <c:rich>
              <a:bodyPr/>
              <a:lstStyle/>
              <a:p>
                <a:pPr>
                  <a:defRPr/>
                </a:pPr>
                <a:r>
                  <a:rPr lang="tr-TR"/>
                  <a:t>Thousand Barrels Per Day</a:t>
                </a:r>
              </a:p>
            </c:rich>
          </c:tx>
          <c:layout>
            <c:manualLayout>
              <c:xMode val="edge"/>
              <c:yMode val="edge"/>
              <c:x val="3.4482738837973162E-2"/>
              <c:y val="0.15444036961133306"/>
            </c:manualLayout>
          </c:layout>
        </c:title>
        <c:numFmt formatCode="#,##0" sourceLinked="0"/>
        <c:tickLblPos val="nextTo"/>
        <c:txPr>
          <a:bodyPr rot="0" vert="horz"/>
          <a:lstStyle/>
          <a:p>
            <a:pPr>
              <a:defRPr/>
            </a:pPr>
            <a:endParaRPr lang="tr-TR"/>
          </a:p>
        </c:txPr>
        <c:crossAx val="102306560"/>
        <c:crosses val="autoZero"/>
        <c:crossBetween val="midCat"/>
      </c:valAx>
      <c:spPr>
        <a:ln>
          <a:noFill/>
        </a:ln>
      </c:spPr>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0.9159</cdr:x>
      <cdr:y>0.25789</cdr:y>
    </cdr:from>
    <cdr:to>
      <cdr:x>0.9159</cdr:x>
      <cdr:y>0.67207</cdr:y>
    </cdr:to>
    <cdr:sp macro="" textlink="">
      <cdr:nvSpPr>
        <cdr:cNvPr id="2049" name="Line 1"/>
        <cdr:cNvSpPr>
          <a:spLocks xmlns:a="http://schemas.openxmlformats.org/drawingml/2006/main" noChangeShapeType="1"/>
        </cdr:cNvSpPr>
      </cdr:nvSpPr>
      <cdr:spPr bwMode="auto">
        <a:xfrm xmlns:a="http://schemas.openxmlformats.org/drawingml/2006/main">
          <a:off x="5469906" y="636204"/>
          <a:ext cx="0" cy="1021778"/>
        </a:xfrm>
        <a:prstGeom xmlns:a="http://schemas.openxmlformats.org/drawingml/2006/main" prst="line">
          <a:avLst/>
        </a:prstGeom>
        <a:noFill xmlns:a="http://schemas.openxmlformats.org/drawingml/2006/main"/>
        <a:ln xmlns:a="http://schemas.openxmlformats.org/drawingml/2006/main" w="9525">
          <a:solidFill>
            <a:srgbClr val="000000"/>
          </a:solidFill>
          <a:round/>
          <a:headEnd type="triangle" w="med" len="med"/>
          <a:tailEnd type="triangle" w="med" len="med"/>
        </a:ln>
      </cdr:spPr>
    </cdr:sp>
  </cdr:relSizeAnchor>
  <cdr:relSizeAnchor xmlns:cdr="http://schemas.openxmlformats.org/drawingml/2006/chartDrawing">
    <cdr:from>
      <cdr:x>0.01147</cdr:x>
      <cdr:y>0.86154</cdr:y>
    </cdr:from>
    <cdr:to>
      <cdr:x>0.55081</cdr:x>
      <cdr:y>0.98077</cdr:y>
    </cdr:to>
    <cdr:sp macro="" textlink="">
      <cdr:nvSpPr>
        <cdr:cNvPr id="2051" name="Text Box 3"/>
        <cdr:cNvSpPr txBox="1">
          <a:spLocks xmlns:a="http://schemas.openxmlformats.org/drawingml/2006/main" noChangeArrowheads="1"/>
        </cdr:cNvSpPr>
      </cdr:nvSpPr>
      <cdr:spPr bwMode="auto">
        <a:xfrm xmlns:a="http://schemas.openxmlformats.org/drawingml/2006/main">
          <a:off x="50800" y="2136775"/>
          <a:ext cx="2239823" cy="2952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1" strike="noStrike">
              <a:solidFill>
                <a:srgbClr val="000000"/>
              </a:solidFill>
              <a:latin typeface="+mn-lt"/>
              <a:cs typeface="Arial"/>
            </a:rPr>
            <a:t>Source: </a:t>
          </a:r>
          <a:r>
            <a:rPr lang="tr-TR" sz="800" b="0" i="0" strike="noStrike">
              <a:solidFill>
                <a:srgbClr val="000000"/>
              </a:solidFill>
              <a:latin typeface="+mn-lt"/>
              <a:cs typeface="Arial"/>
            </a:rPr>
            <a:t>General Directorate of Petroleum Affairs </a:t>
          </a:r>
          <a:endParaRPr lang="tr-TR" sz="800" b="0" i="1" strike="noStrike">
            <a:solidFill>
              <a:srgbClr val="000000"/>
            </a:solidFill>
            <a:latin typeface="+mn-lt"/>
            <a:cs typeface="Arial"/>
          </a:endParaRPr>
        </a:p>
      </cdr:txBody>
    </cdr:sp>
  </cdr:relSizeAnchor>
  <cdr:relSizeAnchor xmlns:cdr="http://schemas.openxmlformats.org/drawingml/2006/chartDrawing">
    <cdr:from>
      <cdr:x>0.62848</cdr:x>
      <cdr:y>0.62716</cdr:y>
    </cdr:from>
    <cdr:to>
      <cdr:x>0.86518</cdr:x>
      <cdr:y>0.68486</cdr:y>
    </cdr:to>
    <cdr:sp macro="" textlink="">
      <cdr:nvSpPr>
        <cdr:cNvPr id="2052" name="Text Box 4"/>
        <cdr:cNvSpPr txBox="1">
          <a:spLocks xmlns:a="http://schemas.openxmlformats.org/drawingml/2006/main" noChangeArrowheads="1"/>
        </cdr:cNvSpPr>
      </cdr:nvSpPr>
      <cdr:spPr bwMode="auto">
        <a:xfrm xmlns:a="http://schemas.openxmlformats.org/drawingml/2006/main">
          <a:off x="2613206" y="1556345"/>
          <a:ext cx="982966" cy="1428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0" strike="noStrike">
              <a:solidFill>
                <a:schemeClr val="accent1">
                  <a:lumMod val="75000"/>
                </a:schemeClr>
              </a:solidFill>
              <a:latin typeface="Arial"/>
              <a:cs typeface="Arial"/>
            </a:rPr>
            <a:t>Production</a:t>
          </a:r>
        </a:p>
      </cdr:txBody>
    </cdr:sp>
  </cdr:relSizeAnchor>
  <cdr:relSizeAnchor xmlns:cdr="http://schemas.openxmlformats.org/drawingml/2006/chartDrawing">
    <cdr:from>
      <cdr:x>0.60797</cdr:x>
      <cdr:y>0.2911</cdr:y>
    </cdr:from>
    <cdr:to>
      <cdr:x>0.82048</cdr:x>
      <cdr:y>0.35959</cdr:y>
    </cdr:to>
    <cdr:sp macro="" textlink="">
      <cdr:nvSpPr>
        <cdr:cNvPr id="2053" name="Text Box 5"/>
        <cdr:cNvSpPr txBox="1">
          <a:spLocks xmlns:a="http://schemas.openxmlformats.org/drawingml/2006/main" noChangeArrowheads="1"/>
        </cdr:cNvSpPr>
      </cdr:nvSpPr>
      <cdr:spPr bwMode="auto">
        <a:xfrm xmlns:a="http://schemas.openxmlformats.org/drawingml/2006/main">
          <a:off x="3022835" y="809625"/>
          <a:ext cx="1056618" cy="1904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0" strike="noStrike">
              <a:solidFill>
                <a:schemeClr val="accent2">
                  <a:lumMod val="75000"/>
                </a:schemeClr>
              </a:solidFill>
              <a:latin typeface="Arial"/>
              <a:cs typeface="Arial"/>
            </a:rPr>
            <a:t>Consumption</a:t>
          </a:r>
        </a:p>
      </cdr:txBody>
    </cdr:sp>
  </cdr:relSizeAnchor>
</c:userShapes>
</file>

<file path=word/drawings/drawing2.xml><?xml version="1.0" encoding="utf-8"?>
<c:userShapes xmlns:c="http://schemas.openxmlformats.org/drawingml/2006/chart">
  <cdr:relSizeAnchor xmlns:cdr="http://schemas.openxmlformats.org/drawingml/2006/chartDrawing">
    <cdr:from>
      <cdr:x>0.01147</cdr:x>
      <cdr:y>0.86154</cdr:y>
    </cdr:from>
    <cdr:to>
      <cdr:x>0.55081</cdr:x>
      <cdr:y>0.98077</cdr:y>
    </cdr:to>
    <cdr:sp macro="" textlink="">
      <cdr:nvSpPr>
        <cdr:cNvPr id="2051" name="Text Box 3"/>
        <cdr:cNvSpPr txBox="1">
          <a:spLocks xmlns:a="http://schemas.openxmlformats.org/drawingml/2006/main" noChangeArrowheads="1"/>
        </cdr:cNvSpPr>
      </cdr:nvSpPr>
      <cdr:spPr bwMode="auto">
        <a:xfrm xmlns:a="http://schemas.openxmlformats.org/drawingml/2006/main">
          <a:off x="50800" y="2136775"/>
          <a:ext cx="2239823" cy="2952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1" strike="noStrike">
              <a:solidFill>
                <a:srgbClr val="000000"/>
              </a:solidFill>
              <a:latin typeface="+mn-lt"/>
              <a:cs typeface="Arial"/>
            </a:rPr>
            <a:t>Source: </a:t>
          </a:r>
          <a:r>
            <a:rPr lang="tr-TR" sz="800" b="0" i="0" strike="noStrike">
              <a:solidFill>
                <a:srgbClr val="000000"/>
              </a:solidFill>
              <a:latin typeface="+mn-lt"/>
              <a:cs typeface="Arial"/>
            </a:rPr>
            <a:t>General Directorate of Petroleum Affairs </a:t>
          </a:r>
          <a:endParaRPr lang="tr-TR" sz="800" b="0" i="1" strike="noStrike">
            <a:solidFill>
              <a:srgbClr val="000000"/>
            </a:solidFill>
            <a:latin typeface="+mn-lt"/>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BADC-83E0-41DD-84B7-507F86CF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37324</CharactersWithSpaces>
  <SharedDoc>false</SharedDoc>
  <HLinks>
    <vt:vector size="66" baseType="variant">
      <vt:variant>
        <vt:i4>3473464</vt:i4>
      </vt:variant>
      <vt:variant>
        <vt:i4>27</vt:i4>
      </vt:variant>
      <vt:variant>
        <vt:i4>0</vt:i4>
      </vt:variant>
      <vt:variant>
        <vt:i4>5</vt:i4>
      </vt:variant>
      <vt:variant>
        <vt:lpwstr>http://www.tpjd.org.tr/</vt:lpwstr>
      </vt:variant>
      <vt:variant>
        <vt:lpwstr/>
      </vt:variant>
      <vt:variant>
        <vt:i4>8257569</vt:i4>
      </vt:variant>
      <vt:variant>
        <vt:i4>24</vt:i4>
      </vt:variant>
      <vt:variant>
        <vt:i4>0</vt:i4>
      </vt:variant>
      <vt:variant>
        <vt:i4>5</vt:i4>
      </vt:variant>
      <vt:variant>
        <vt:lpwstr>http://www.petform.org.tr/</vt:lpwstr>
      </vt:variant>
      <vt:variant>
        <vt:lpwstr/>
      </vt:variant>
      <vt:variant>
        <vt:i4>3604526</vt:i4>
      </vt:variant>
      <vt:variant>
        <vt:i4>21</vt:i4>
      </vt:variant>
      <vt:variant>
        <vt:i4>0</vt:i4>
      </vt:variant>
      <vt:variant>
        <vt:i4>5</vt:i4>
      </vt:variant>
      <vt:variant>
        <vt:lpwstr>http://www.epdk.gov.tr/</vt:lpwstr>
      </vt:variant>
      <vt:variant>
        <vt:lpwstr/>
      </vt:variant>
      <vt:variant>
        <vt:i4>6029376</vt:i4>
      </vt:variant>
      <vt:variant>
        <vt:i4>18</vt:i4>
      </vt:variant>
      <vt:variant>
        <vt:i4>0</vt:i4>
      </vt:variant>
      <vt:variant>
        <vt:i4>5</vt:i4>
      </vt:variant>
      <vt:variant>
        <vt:lpwstr>http://www.enerji.gov.tr/</vt:lpwstr>
      </vt:variant>
      <vt:variant>
        <vt:lpwstr/>
      </vt:variant>
      <vt:variant>
        <vt:i4>262211</vt:i4>
      </vt:variant>
      <vt:variant>
        <vt:i4>15</vt:i4>
      </vt:variant>
      <vt:variant>
        <vt:i4>0</vt:i4>
      </vt:variant>
      <vt:variant>
        <vt:i4>5</vt:i4>
      </vt:variant>
      <vt:variant>
        <vt:lpwstr>http://www.botas.gov.tr/</vt:lpwstr>
      </vt:variant>
      <vt:variant>
        <vt:lpwstr/>
      </vt:variant>
      <vt:variant>
        <vt:i4>2293802</vt:i4>
      </vt:variant>
      <vt:variant>
        <vt:i4>12</vt:i4>
      </vt:variant>
      <vt:variant>
        <vt:i4>0</vt:i4>
      </vt:variant>
      <vt:variant>
        <vt:i4>5</vt:i4>
      </vt:variant>
      <vt:variant>
        <vt:lpwstr>http://www.tpao.gov.tr/</vt:lpwstr>
      </vt:variant>
      <vt:variant>
        <vt:lpwstr/>
      </vt:variant>
      <vt:variant>
        <vt:i4>5439582</vt:i4>
      </vt:variant>
      <vt:variant>
        <vt:i4>9</vt:i4>
      </vt:variant>
      <vt:variant>
        <vt:i4>0</vt:i4>
      </vt:variant>
      <vt:variant>
        <vt:i4>5</vt:i4>
      </vt:variant>
      <vt:variant>
        <vt:lpwstr>http://www.tupras.com.tr/</vt:lpwstr>
      </vt:variant>
      <vt:variant>
        <vt:lpwstr/>
      </vt:variant>
      <vt:variant>
        <vt:i4>2162737</vt:i4>
      </vt:variant>
      <vt:variant>
        <vt:i4>6</vt:i4>
      </vt:variant>
      <vt:variant>
        <vt:i4>0</vt:i4>
      </vt:variant>
      <vt:variant>
        <vt:i4>5</vt:i4>
      </vt:variant>
      <vt:variant>
        <vt:lpwstr>http://www.pigm.gov.tr/</vt:lpwstr>
      </vt:variant>
      <vt:variant>
        <vt:lpwstr/>
      </vt:variant>
      <vt:variant>
        <vt:i4>8126577</vt:i4>
      </vt:variant>
      <vt:variant>
        <vt:i4>3</vt:i4>
      </vt:variant>
      <vt:variant>
        <vt:i4>0</vt:i4>
      </vt:variant>
      <vt:variant>
        <vt:i4>5</vt:i4>
      </vt:variant>
      <vt:variant>
        <vt:lpwstr>http://www.eia.doe.gov/emeu/cabs/Turkey/images/bosporus bypass map.pdf</vt:lpwstr>
      </vt:variant>
      <vt:variant>
        <vt:lpwstr/>
      </vt:variant>
      <vt:variant>
        <vt:i4>5898314</vt:i4>
      </vt:variant>
      <vt:variant>
        <vt:i4>0</vt:i4>
      </vt:variant>
      <vt:variant>
        <vt:i4>0</vt:i4>
      </vt:variant>
      <vt:variant>
        <vt:i4>5</vt:i4>
      </vt:variant>
      <vt:variant>
        <vt:lpwstr>http://www.invest.gov.tr/</vt:lpwstr>
      </vt:variant>
      <vt:variant>
        <vt:lpwstr/>
      </vt:variant>
      <vt:variant>
        <vt:i4>8257555</vt:i4>
      </vt:variant>
      <vt:variant>
        <vt:i4>102190</vt:i4>
      </vt:variant>
      <vt:variant>
        <vt:i4>1031</vt:i4>
      </vt:variant>
      <vt:variant>
        <vt:i4>1</vt:i4>
      </vt:variant>
      <vt:variant>
        <vt:lpwstr>cid:image001.jpg@01C88468.47DF4960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Kaymaz</dc:creator>
  <cp:keywords/>
  <dc:description/>
  <cp:lastModifiedBy>Necmettin Kaymaz</cp:lastModifiedBy>
  <cp:revision>12</cp:revision>
  <dcterms:created xsi:type="dcterms:W3CDTF">2008-09-10T09:04:00Z</dcterms:created>
  <dcterms:modified xsi:type="dcterms:W3CDTF">2008-09-10T11:52:00Z</dcterms:modified>
</cp:coreProperties>
</file>